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8B76C" w14:textId="77777777" w:rsidR="004868A1" w:rsidRDefault="004868A1" w:rsidP="00D310BA">
      <w:pPr>
        <w:jc w:val="center"/>
        <w:rPr>
          <w:rFonts w:cs="Times New Roman"/>
          <w:b/>
          <w:sz w:val="24"/>
        </w:rPr>
      </w:pPr>
      <w:r>
        <w:rPr>
          <w:rFonts w:cs="Times New Roman"/>
          <w:b/>
          <w:sz w:val="24"/>
        </w:rPr>
        <w:t>FAIR OP</w:t>
      </w:r>
      <w:bookmarkStart w:id="0" w:name="_GoBack"/>
      <w:bookmarkEnd w:id="0"/>
      <w:r>
        <w:rPr>
          <w:rFonts w:cs="Times New Roman"/>
          <w:b/>
          <w:sz w:val="24"/>
        </w:rPr>
        <w:t>PORTUNITY PLANNING DOCUMENT</w:t>
      </w:r>
    </w:p>
    <w:p w14:paraId="1A517EE8" w14:textId="77777777" w:rsidR="000A3BA0" w:rsidRDefault="00D310BA" w:rsidP="00D310BA">
      <w:pPr>
        <w:jc w:val="center"/>
        <w:rPr>
          <w:rFonts w:cs="Times New Roman"/>
          <w:b/>
          <w:sz w:val="24"/>
        </w:rPr>
      </w:pPr>
      <w:r w:rsidRPr="00EE784C">
        <w:rPr>
          <w:rFonts w:cs="Times New Roman"/>
          <w:b/>
          <w:sz w:val="24"/>
        </w:rPr>
        <w:t>NOTES TO THE BUYER</w:t>
      </w:r>
      <w:r w:rsidR="004868A1">
        <w:rPr>
          <w:rFonts w:cs="Times New Roman"/>
          <w:b/>
          <w:sz w:val="24"/>
        </w:rPr>
        <w:t xml:space="preserve"> </w:t>
      </w:r>
      <w:r w:rsidR="006C67F6">
        <w:rPr>
          <w:rFonts w:cs="Times New Roman"/>
          <w:b/>
          <w:sz w:val="24"/>
        </w:rPr>
        <w:t>(NTB)</w:t>
      </w:r>
    </w:p>
    <w:p w14:paraId="437E477F" w14:textId="77777777" w:rsidR="004868A1" w:rsidRPr="00EE784C" w:rsidRDefault="00A862BC" w:rsidP="00D310BA">
      <w:pPr>
        <w:jc w:val="center"/>
        <w:rPr>
          <w:rFonts w:cs="Times New Roman"/>
          <w:b/>
          <w:sz w:val="24"/>
        </w:rPr>
      </w:pPr>
      <w:r>
        <w:rPr>
          <w:rFonts w:cs="Times New Roman"/>
          <w:b/>
          <w:sz w:val="24"/>
        </w:rPr>
        <w:t>MEMORANDU</w:t>
      </w:r>
      <w:r w:rsidR="004868A1">
        <w:rPr>
          <w:rFonts w:cs="Times New Roman"/>
          <w:b/>
          <w:sz w:val="24"/>
        </w:rPr>
        <w:t>M FOR RECORD</w:t>
      </w:r>
    </w:p>
    <w:p w14:paraId="5E89BC56" w14:textId="77777777" w:rsidR="00D310BA" w:rsidRPr="00D310BA" w:rsidRDefault="00D310BA" w:rsidP="00EE78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cs="Times New Roman"/>
          <w:b/>
        </w:rPr>
      </w:pPr>
      <w:r w:rsidRPr="00D310BA">
        <w:rPr>
          <w:rFonts w:cs="Times New Roman"/>
          <w:b/>
        </w:rPr>
        <w:t>ECONOMY ACT</w:t>
      </w:r>
    </w:p>
    <w:p w14:paraId="650B09FA" w14:textId="3E9DB354" w:rsidR="00D310BA" w:rsidRPr="00D310BA" w:rsidRDefault="00D310BA" w:rsidP="00B702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40"/>
        <w:rPr>
          <w:rFonts w:cs="Times New Roman"/>
        </w:rPr>
      </w:pPr>
      <w:r w:rsidRPr="00D310BA">
        <w:rPr>
          <w:rFonts w:cs="Times New Roman"/>
        </w:rPr>
        <w:t xml:space="preserve">This action will be executed pursuant to the Economy Act in accordance with </w:t>
      </w:r>
      <w:r w:rsidR="00401B13">
        <w:rPr>
          <w:rFonts w:cs="Times New Roman"/>
        </w:rPr>
        <w:t>Federal Acquisition Regulation (</w:t>
      </w:r>
      <w:r w:rsidRPr="00D310BA">
        <w:rPr>
          <w:rFonts w:cs="Times New Roman"/>
        </w:rPr>
        <w:t>FAR</w:t>
      </w:r>
      <w:r w:rsidR="00401B13">
        <w:rPr>
          <w:rFonts w:cs="Times New Roman"/>
        </w:rPr>
        <w:t>)</w:t>
      </w:r>
      <w:r w:rsidRPr="00D310BA">
        <w:rPr>
          <w:rFonts w:cs="Times New Roman"/>
        </w:rPr>
        <w:t xml:space="preserve"> 17.500(b) and local agency requirements.  When a </w:t>
      </w:r>
      <w:r w:rsidR="00401B13">
        <w:rPr>
          <w:rFonts w:cs="Times New Roman"/>
        </w:rPr>
        <w:t>Department of Defense (</w:t>
      </w:r>
      <w:r w:rsidRPr="00D310BA">
        <w:rPr>
          <w:rFonts w:cs="Times New Roman"/>
        </w:rPr>
        <w:t>DoD</w:t>
      </w:r>
      <w:r w:rsidR="00401B13">
        <w:rPr>
          <w:rFonts w:cs="Times New Roman"/>
        </w:rPr>
        <w:t>)</w:t>
      </w:r>
      <w:r w:rsidRPr="00D310BA">
        <w:rPr>
          <w:rFonts w:cs="Times New Roman"/>
        </w:rPr>
        <w:t xml:space="preserve"> contracting office is the servicing agency for the requirement submitted by a non-DoD customer, a copy of the Determinations and Findings that supports the Economy Act Decision is to be provided to the DoD contracting office.</w:t>
      </w:r>
      <w:r w:rsidR="00B70299">
        <w:rPr>
          <w:rFonts w:cs="Times New Roman"/>
        </w:rPr>
        <w:t xml:space="preserve">  </w:t>
      </w:r>
    </w:p>
    <w:p w14:paraId="738ABABF" w14:textId="77777777" w:rsidR="00ED4B76" w:rsidRDefault="00ED4B76" w:rsidP="00926E90">
      <w:pPr>
        <w:spacing w:after="0" w:line="240" w:lineRule="auto"/>
        <w:rPr>
          <w:sz w:val="16"/>
          <w:szCs w:val="16"/>
        </w:rPr>
      </w:pPr>
    </w:p>
    <w:p w14:paraId="2C2B260D" w14:textId="77777777" w:rsidR="002A3A4B" w:rsidRPr="00D310BA" w:rsidRDefault="002A3A4B" w:rsidP="002A3A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cs="Times New Roman"/>
          <w:b/>
        </w:rPr>
      </w:pPr>
      <w:r>
        <w:rPr>
          <w:rFonts w:cs="Times New Roman"/>
          <w:b/>
        </w:rPr>
        <w:t>SELECTION OF THE IAC MAC</w:t>
      </w:r>
    </w:p>
    <w:p w14:paraId="0E5F9386" w14:textId="693CEA08" w:rsidR="002A3A4B" w:rsidRPr="00D310BA" w:rsidRDefault="002A3A4B" w:rsidP="002A3A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40"/>
        <w:rPr>
          <w:rFonts w:cs="Times New Roman"/>
        </w:rPr>
      </w:pPr>
      <w:r w:rsidRPr="00B70299">
        <w:rPr>
          <w:rFonts w:cs="Times New Roman"/>
        </w:rPr>
        <w:t>The Office of</w:t>
      </w:r>
      <w:r>
        <w:rPr>
          <w:rFonts w:cs="Times New Roman"/>
        </w:rPr>
        <w:t xml:space="preserve"> </w:t>
      </w:r>
      <w:r w:rsidRPr="00B70299">
        <w:rPr>
          <w:rFonts w:cs="Times New Roman"/>
        </w:rPr>
        <w:t xml:space="preserve">the Secretary of Defense (OSD) issued a </w:t>
      </w:r>
      <w:r>
        <w:rPr>
          <w:rFonts w:cs="Times New Roman"/>
        </w:rPr>
        <w:t xml:space="preserve">preferred use </w:t>
      </w:r>
      <w:r w:rsidRPr="00B70299">
        <w:rPr>
          <w:rFonts w:cs="Times New Roman"/>
        </w:rPr>
        <w:t>memorandum co-signed by Defense Pricing and Contracting (DPC) and the</w:t>
      </w:r>
      <w:r>
        <w:rPr>
          <w:rFonts w:cs="Times New Roman"/>
        </w:rPr>
        <w:t xml:space="preserve"> </w:t>
      </w:r>
      <w:r w:rsidRPr="00B70299">
        <w:rPr>
          <w:rFonts w:cs="Times New Roman"/>
        </w:rPr>
        <w:t xml:space="preserve">Assistant Secretary of Defense for Research and Engineering (ASD (R&amp;E)) dated 27 July 2018 </w:t>
      </w:r>
      <w:r>
        <w:rPr>
          <w:rFonts w:cs="Times New Roman"/>
        </w:rPr>
        <w:t>that</w:t>
      </w:r>
      <w:r w:rsidRPr="00B70299">
        <w:rPr>
          <w:rFonts w:cs="Times New Roman"/>
        </w:rPr>
        <w:t xml:space="preserve"> identified the </w:t>
      </w:r>
      <w:r w:rsidR="00401B13">
        <w:rPr>
          <w:rFonts w:cs="Times New Roman"/>
        </w:rPr>
        <w:t>Information Analysis Center (</w:t>
      </w:r>
      <w:r w:rsidRPr="00B70299">
        <w:rPr>
          <w:rFonts w:cs="Times New Roman"/>
        </w:rPr>
        <w:t>IAC</w:t>
      </w:r>
      <w:r w:rsidR="00401B13">
        <w:rPr>
          <w:rFonts w:cs="Times New Roman"/>
        </w:rPr>
        <w:t>)</w:t>
      </w:r>
      <w:r>
        <w:rPr>
          <w:rFonts w:cs="Times New Roman"/>
        </w:rPr>
        <w:t xml:space="preserve"> </w:t>
      </w:r>
      <w:r w:rsidRPr="00B70299">
        <w:rPr>
          <w:rFonts w:cs="Times New Roman"/>
        </w:rPr>
        <w:t>contracts as best value vehicles to acquire services that fall within the applicable scope areas and recommended that all</w:t>
      </w:r>
      <w:r>
        <w:rPr>
          <w:rFonts w:cs="Times New Roman"/>
        </w:rPr>
        <w:t xml:space="preserve"> </w:t>
      </w:r>
      <w:r w:rsidRPr="00B70299">
        <w:rPr>
          <w:rFonts w:cs="Times New Roman"/>
        </w:rPr>
        <w:t>new and ongoing efforts should consider the DoD IAC contracts as vehicles of first choice.</w:t>
      </w:r>
    </w:p>
    <w:p w14:paraId="03AB2425" w14:textId="77777777" w:rsidR="002A3A4B" w:rsidRPr="00612FA9" w:rsidRDefault="002A3A4B" w:rsidP="00926E90">
      <w:pPr>
        <w:spacing w:after="0" w:line="240" w:lineRule="auto"/>
        <w:rPr>
          <w:sz w:val="16"/>
          <w:szCs w:val="16"/>
        </w:rPr>
      </w:pPr>
    </w:p>
    <w:p w14:paraId="57965636" w14:textId="77777777" w:rsidR="00D310BA" w:rsidRDefault="00D310BA" w:rsidP="00F24E9E">
      <w:pPr>
        <w:pStyle w:val="Heading1"/>
        <w:ind w:left="547" w:hanging="547"/>
      </w:pPr>
      <w:r w:rsidRPr="000144C6">
        <w:t>Requirement</w:t>
      </w:r>
      <w:r>
        <w:t xml:space="preserve"> Title</w:t>
      </w:r>
    </w:p>
    <w:p w14:paraId="3D764D5A" w14:textId="0017A022" w:rsidR="00D146CC" w:rsidRPr="00926E90" w:rsidRDefault="00D146CC" w:rsidP="00ED4B76">
      <w:pPr>
        <w:rPr>
          <w:rStyle w:val="SubtleEmphasis"/>
        </w:rPr>
      </w:pPr>
      <w:r w:rsidRPr="00926E90">
        <w:rPr>
          <w:rStyle w:val="SubtleEmphasis"/>
        </w:rPr>
        <w:t xml:space="preserve">Insert </w:t>
      </w:r>
      <w:r w:rsidR="00612FA9" w:rsidRPr="00926E90">
        <w:rPr>
          <w:rStyle w:val="SubtleEmphasis"/>
        </w:rPr>
        <w:t xml:space="preserve">RMS number and </w:t>
      </w:r>
      <w:r w:rsidR="00401B13">
        <w:rPr>
          <w:rStyle w:val="SubtleEmphasis"/>
        </w:rPr>
        <w:t>t</w:t>
      </w:r>
      <w:r w:rsidRPr="00926E90">
        <w:rPr>
          <w:rStyle w:val="SubtleEmphasis"/>
        </w:rPr>
        <w:t>itle of Task Order</w:t>
      </w:r>
      <w:r w:rsidR="00401B13">
        <w:rPr>
          <w:rStyle w:val="SubtleEmphasis"/>
        </w:rPr>
        <w:t xml:space="preserve"> (TO)</w:t>
      </w:r>
    </w:p>
    <w:tbl>
      <w:tblPr>
        <w:tblStyle w:val="TableGrid"/>
        <w:tblW w:w="9540" w:type="dxa"/>
        <w:tblInd w:w="-95" w:type="dxa"/>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540"/>
      </w:tblGrid>
      <w:tr w:rsidR="00F44D47" w14:paraId="69B33B1C" w14:textId="77777777" w:rsidTr="00926E90">
        <w:trPr>
          <w:trHeight w:val="20"/>
        </w:trPr>
        <w:tc>
          <w:tcPr>
            <w:tcW w:w="9540" w:type="dxa"/>
            <w:shd w:val="clear" w:color="auto" w:fill="DEEAF6" w:themeFill="accent1" w:themeFillTint="33"/>
          </w:tcPr>
          <w:p w14:paraId="7E825992" w14:textId="77777777" w:rsidR="00F44D47" w:rsidRDefault="00F44D47" w:rsidP="00590389"/>
        </w:tc>
      </w:tr>
    </w:tbl>
    <w:p w14:paraId="1BEF91CB" w14:textId="77777777" w:rsidR="0000523A" w:rsidRDefault="0000523A" w:rsidP="00F24E9E">
      <w:pPr>
        <w:pStyle w:val="Heading1"/>
        <w:ind w:left="547" w:hanging="547"/>
      </w:pPr>
      <w:r>
        <w:t>Technical Focus Areas</w:t>
      </w:r>
    </w:p>
    <w:p w14:paraId="50B8CC72" w14:textId="45EA92E9" w:rsidR="00D146CC" w:rsidRPr="00926E90" w:rsidRDefault="00D146CC" w:rsidP="00D146CC">
      <w:pPr>
        <w:rPr>
          <w:rStyle w:val="SubtleEmphasis"/>
        </w:rPr>
      </w:pPr>
      <w:r w:rsidRPr="00926E90">
        <w:rPr>
          <w:rStyle w:val="SubtleEmphasis"/>
        </w:rPr>
        <w:t xml:space="preserve">Indicate which Technical Focus Areas from the lists below apply to the work to be performed in the </w:t>
      </w:r>
      <w:r w:rsidR="00401B13">
        <w:rPr>
          <w:rStyle w:val="SubtleEmphasis"/>
        </w:rPr>
        <w:t>Performance Work Statement (</w:t>
      </w:r>
      <w:r w:rsidRPr="00926E90">
        <w:rPr>
          <w:rStyle w:val="SubtleEmphasis"/>
        </w:rPr>
        <w:t>PWS</w:t>
      </w:r>
      <w:r w:rsidR="00401B13">
        <w:rPr>
          <w:rStyle w:val="SubtleEmphasis"/>
        </w:rPr>
        <w:t>)</w:t>
      </w:r>
      <w:r w:rsidRPr="00926E90">
        <w:rPr>
          <w:rStyle w:val="SubtleEmphasis"/>
        </w:rPr>
        <w:t>.</w:t>
      </w:r>
    </w:p>
    <w:p w14:paraId="5C8817FD" w14:textId="77777777" w:rsidR="00ED4B76" w:rsidRDefault="00ED4B76" w:rsidP="00926E90">
      <w:pPr>
        <w:pStyle w:val="Heading2"/>
        <w:spacing w:after="40"/>
        <w:ind w:hanging="720"/>
      </w:pPr>
      <w:r>
        <w:t>Defense Systems Domain</w:t>
      </w:r>
    </w:p>
    <w:p w14:paraId="6C0D384C" w14:textId="77777777" w:rsidR="00D146CC" w:rsidRDefault="00214CA9" w:rsidP="00926E90">
      <w:pPr>
        <w:spacing w:after="0" w:line="240" w:lineRule="auto"/>
      </w:pPr>
      <w:sdt>
        <w:sdtPr>
          <w:id w:val="-1162382495"/>
          <w14:checkbox>
            <w14:checked w14:val="0"/>
            <w14:checkedState w14:val="2612" w14:font="MS Gothic"/>
            <w14:uncheckedState w14:val="2610" w14:font="MS Gothic"/>
          </w14:checkbox>
        </w:sdtPr>
        <w:sdtEndPr/>
        <w:sdtContent>
          <w:r w:rsidR="002114EA">
            <w:rPr>
              <w:rFonts w:ascii="MS Gothic" w:eastAsia="MS Gothic" w:hAnsi="MS Gothic" w:hint="eastAsia"/>
            </w:rPr>
            <w:t>☐</w:t>
          </w:r>
        </w:sdtContent>
      </w:sdt>
      <w:r w:rsidR="00D146CC">
        <w:tab/>
        <w:t>Survivability and Vulnerability (1.4.2.2.1)</w:t>
      </w:r>
    </w:p>
    <w:p w14:paraId="5235B152" w14:textId="77777777" w:rsidR="00D146CC" w:rsidRDefault="00214CA9" w:rsidP="00926E90">
      <w:pPr>
        <w:spacing w:after="0" w:line="240" w:lineRule="auto"/>
      </w:pPr>
      <w:sdt>
        <w:sdtPr>
          <w:id w:val="-1437200540"/>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Reliability, Maintainability, Quality, Supportability, and Interoperability (RMQSI) (1.4.2.2.2)</w:t>
      </w:r>
    </w:p>
    <w:p w14:paraId="70E07E6A" w14:textId="77777777" w:rsidR="00D146CC" w:rsidRDefault="00214CA9" w:rsidP="00926E90">
      <w:pPr>
        <w:spacing w:after="0" w:line="240" w:lineRule="auto"/>
      </w:pPr>
      <w:sdt>
        <w:sdtPr>
          <w:id w:val="-1000279979"/>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Military Sensing (1.4.2.2.3)</w:t>
      </w:r>
    </w:p>
    <w:p w14:paraId="6F5E8A5D" w14:textId="77777777" w:rsidR="00D146CC" w:rsidRDefault="00214CA9" w:rsidP="00926E90">
      <w:pPr>
        <w:spacing w:after="0" w:line="240" w:lineRule="auto"/>
      </w:pPr>
      <w:sdt>
        <w:sdtPr>
          <w:id w:val="174530063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Advanced Materials (1.4.2.2.4)</w:t>
      </w:r>
    </w:p>
    <w:p w14:paraId="18EEF452" w14:textId="77777777" w:rsidR="00D146CC" w:rsidRDefault="00214CA9" w:rsidP="00926E90">
      <w:pPr>
        <w:spacing w:after="0" w:line="240" w:lineRule="auto"/>
      </w:pPr>
      <w:sdt>
        <w:sdtPr>
          <w:id w:val="-542288543"/>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Energetics (1.4.2.2.5)</w:t>
      </w:r>
    </w:p>
    <w:p w14:paraId="221F9BDF" w14:textId="77777777" w:rsidR="00D146CC" w:rsidRDefault="00214CA9" w:rsidP="00926E90">
      <w:pPr>
        <w:spacing w:after="0" w:line="240" w:lineRule="auto"/>
      </w:pPr>
      <w:sdt>
        <w:sdtPr>
          <w:id w:val="-1172481182"/>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Non-Lethal Weapons and Information Operations (1.4.2.2.6)</w:t>
      </w:r>
    </w:p>
    <w:p w14:paraId="31AB88B0" w14:textId="77777777" w:rsidR="00D146CC" w:rsidRDefault="00214CA9" w:rsidP="00926E90">
      <w:pPr>
        <w:spacing w:after="0" w:line="240" w:lineRule="auto"/>
      </w:pPr>
      <w:sdt>
        <w:sdtPr>
          <w:id w:val="43186755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Directed Energy (1.4.2.2.7)</w:t>
      </w:r>
    </w:p>
    <w:p w14:paraId="1CA79724" w14:textId="77777777" w:rsidR="00D146CC" w:rsidRDefault="00214CA9" w:rsidP="00926E90">
      <w:pPr>
        <w:spacing w:after="0" w:line="240" w:lineRule="auto"/>
      </w:pPr>
      <w:sdt>
        <w:sdtPr>
          <w:id w:val="21855255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Autonomous Systems (1.4.2.2.8)</w:t>
      </w:r>
    </w:p>
    <w:p w14:paraId="645DF354" w14:textId="77777777" w:rsidR="00D146CC" w:rsidRDefault="00214CA9" w:rsidP="00926E90">
      <w:pPr>
        <w:spacing w:after="0" w:line="240" w:lineRule="auto"/>
      </w:pPr>
      <w:sdt>
        <w:sdtPr>
          <w:id w:val="1496073320"/>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Weapons Systems (1.4.2.2.9)</w:t>
      </w:r>
    </w:p>
    <w:p w14:paraId="034CC0A6" w14:textId="77777777" w:rsidR="00ED4B76" w:rsidRDefault="00214CA9" w:rsidP="00926E90">
      <w:pPr>
        <w:spacing w:after="0" w:line="240" w:lineRule="auto"/>
        <w:ind w:left="720" w:hanging="720"/>
      </w:pPr>
      <w:sdt>
        <w:sdtPr>
          <w:id w:val="-1845706651"/>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D146CC">
        <w:tab/>
        <w:t>Command, Control, Communications, Computers, Intelligence, Surveillance, and Reconnaissance (C4ISR) (1.4.2.2.10)</w:t>
      </w:r>
    </w:p>
    <w:p w14:paraId="32875FB2" w14:textId="77777777" w:rsidR="00ED4B76" w:rsidRDefault="00ED4B76" w:rsidP="00926E90">
      <w:pPr>
        <w:pStyle w:val="Heading2"/>
        <w:spacing w:after="40"/>
        <w:ind w:hanging="720"/>
      </w:pPr>
      <w:r>
        <w:t>Cyber Security and Information Systems Domain</w:t>
      </w:r>
    </w:p>
    <w:p w14:paraId="0E6EFCC5" w14:textId="77777777" w:rsidR="002B58BB" w:rsidRPr="002B58BB" w:rsidRDefault="00214CA9" w:rsidP="00926E90">
      <w:pPr>
        <w:spacing w:after="0" w:line="240" w:lineRule="auto"/>
        <w:rPr>
          <w:rStyle w:val="SubtleEmphasis"/>
          <w:rFonts w:eastAsiaTheme="majorEastAsia" w:cstheme="majorBidi"/>
          <w:b/>
          <w:i w:val="0"/>
          <w:color w:val="auto"/>
          <w:szCs w:val="26"/>
        </w:rPr>
      </w:pPr>
      <w:sdt>
        <w:sdtPr>
          <w:rPr>
            <w:i/>
            <w:iCs/>
            <w:color w:val="595959" w:themeColor="text1" w:themeTint="A6"/>
          </w:rPr>
          <w:id w:val="31085789"/>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Software and Data Analysis (1.4.2.3.1)</w:t>
      </w:r>
    </w:p>
    <w:p w14:paraId="52E3D886" w14:textId="77777777" w:rsidR="002B58BB" w:rsidRPr="002B58BB" w:rsidRDefault="00214CA9" w:rsidP="00926E90">
      <w:pPr>
        <w:spacing w:after="0" w:line="240" w:lineRule="auto"/>
        <w:rPr>
          <w:rStyle w:val="SubtleEmphasis"/>
          <w:i w:val="0"/>
          <w:color w:val="auto"/>
        </w:rPr>
      </w:pPr>
      <w:sdt>
        <w:sdtPr>
          <w:rPr>
            <w:i/>
            <w:iCs/>
            <w:color w:val="595959" w:themeColor="text1" w:themeTint="A6"/>
          </w:rPr>
          <w:id w:val="-211580379"/>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Cyber Security (CS) (1.4.2.3.2)</w:t>
      </w:r>
    </w:p>
    <w:p w14:paraId="09F6670C" w14:textId="77777777" w:rsidR="002B58BB" w:rsidRPr="002B58BB" w:rsidRDefault="00214CA9" w:rsidP="00926E90">
      <w:pPr>
        <w:spacing w:after="0" w:line="240" w:lineRule="auto"/>
        <w:rPr>
          <w:rStyle w:val="SubtleEmphasis"/>
          <w:i w:val="0"/>
          <w:color w:val="auto"/>
        </w:rPr>
      </w:pPr>
      <w:sdt>
        <w:sdtPr>
          <w:rPr>
            <w:i/>
            <w:iCs/>
            <w:color w:val="595959" w:themeColor="text1" w:themeTint="A6"/>
          </w:rPr>
          <w:id w:val="492997156"/>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Modeling and Simulation (M&amp;S) (1.4.2.3.3)</w:t>
      </w:r>
    </w:p>
    <w:p w14:paraId="4CDBED15" w14:textId="77777777" w:rsidR="002B58BB" w:rsidRPr="002B58BB" w:rsidRDefault="00214CA9" w:rsidP="00926E90">
      <w:pPr>
        <w:spacing w:after="0" w:line="240" w:lineRule="auto"/>
        <w:rPr>
          <w:rStyle w:val="SubtleEmphasis"/>
          <w:i w:val="0"/>
          <w:color w:val="auto"/>
        </w:rPr>
      </w:pPr>
      <w:sdt>
        <w:sdtPr>
          <w:rPr>
            <w:i/>
            <w:iCs/>
            <w:color w:val="595959" w:themeColor="text1" w:themeTint="A6"/>
          </w:rPr>
          <w:id w:val="-362596770"/>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Knowledge Management and Information Sharing (1.4.2.3.4)</w:t>
      </w:r>
    </w:p>
    <w:p w14:paraId="2C232189" w14:textId="77777777" w:rsidR="00ED4B76" w:rsidRDefault="00ED4B76" w:rsidP="00926E90">
      <w:pPr>
        <w:pStyle w:val="Heading2"/>
        <w:spacing w:after="40"/>
        <w:ind w:hanging="720"/>
      </w:pPr>
      <w:r>
        <w:t>Homeland Security and Defense Domain</w:t>
      </w:r>
    </w:p>
    <w:p w14:paraId="5ACA559E" w14:textId="77777777" w:rsidR="002B58BB" w:rsidRDefault="00214CA9" w:rsidP="00926E90">
      <w:pPr>
        <w:spacing w:after="0" w:line="240" w:lineRule="auto"/>
      </w:pPr>
      <w:sdt>
        <w:sdtPr>
          <w:id w:val="1557595277"/>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Homeland Security and Defense (1.4.2.4.1)</w:t>
      </w:r>
    </w:p>
    <w:p w14:paraId="1F4367DD" w14:textId="77777777" w:rsidR="002B58BB" w:rsidRDefault="00214CA9" w:rsidP="00926E90">
      <w:pPr>
        <w:spacing w:after="0" w:line="240" w:lineRule="auto"/>
      </w:pPr>
      <w:sdt>
        <w:sdtPr>
          <w:id w:val="-67364919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Critical Infrastructure Protection (CIP) (1.4.2.4.2)</w:t>
      </w:r>
    </w:p>
    <w:p w14:paraId="77F45E7A" w14:textId="77777777" w:rsidR="002B58BB" w:rsidRDefault="00214CA9" w:rsidP="00926E90">
      <w:pPr>
        <w:spacing w:after="0" w:line="240" w:lineRule="auto"/>
      </w:pPr>
      <w:sdt>
        <w:sdtPr>
          <w:id w:val="137342157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Weapons of Mass Destruction (WMD) (1.4.2.4.3)</w:t>
      </w:r>
    </w:p>
    <w:p w14:paraId="74D95C50" w14:textId="77777777" w:rsidR="002B58BB" w:rsidRDefault="00214CA9" w:rsidP="00926E90">
      <w:pPr>
        <w:spacing w:after="0" w:line="240" w:lineRule="auto"/>
      </w:pPr>
      <w:sdt>
        <w:sdtPr>
          <w:id w:val="1318228432"/>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Biometrics (1.4.2.4.4)</w:t>
      </w:r>
    </w:p>
    <w:p w14:paraId="51B75BC7" w14:textId="77777777" w:rsidR="002B58BB" w:rsidRDefault="00214CA9" w:rsidP="00926E90">
      <w:pPr>
        <w:spacing w:after="0" w:line="240" w:lineRule="auto"/>
      </w:pPr>
      <w:sdt>
        <w:sdtPr>
          <w:id w:val="24554122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Medical (1.4.2.4.5)</w:t>
      </w:r>
    </w:p>
    <w:p w14:paraId="0248BEBC" w14:textId="77777777" w:rsidR="002B58BB" w:rsidRDefault="00214CA9" w:rsidP="00926E90">
      <w:pPr>
        <w:spacing w:after="0" w:line="240" w:lineRule="auto"/>
      </w:pPr>
      <w:sdt>
        <w:sdtPr>
          <w:id w:val="-1341926874"/>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Cultural Studies (1.4.2.4.6)</w:t>
      </w:r>
    </w:p>
    <w:p w14:paraId="3BC9D2D1" w14:textId="77777777" w:rsidR="002B58BB" w:rsidRDefault="00214CA9" w:rsidP="00926E90">
      <w:pPr>
        <w:spacing w:after="0" w:line="240" w:lineRule="auto"/>
      </w:pPr>
      <w:sdt>
        <w:sdtPr>
          <w:id w:val="1735426053"/>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Alternative Energy (1.4.2.4.7)</w:t>
      </w:r>
    </w:p>
    <w:p w14:paraId="48A96F53" w14:textId="4C02E750" w:rsidR="002B58BB" w:rsidRDefault="00214CA9" w:rsidP="00926E90">
      <w:pPr>
        <w:spacing w:after="0" w:line="240" w:lineRule="auto"/>
      </w:pPr>
      <w:sdt>
        <w:sdtPr>
          <w:id w:val="-1714424431"/>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r>
      <w:r w:rsidR="00401B13">
        <w:t>Chemical, Biological, Radiological, and Nuclear (</w:t>
      </w:r>
      <w:r w:rsidR="002B58BB">
        <w:t>CBRN</w:t>
      </w:r>
      <w:r w:rsidR="00401B13">
        <w:t>)</w:t>
      </w:r>
      <w:r w:rsidR="002B58BB">
        <w:t xml:space="preserve"> Non-Laboratory (1.4.2.4.8)</w:t>
      </w:r>
    </w:p>
    <w:p w14:paraId="27209400" w14:textId="77777777" w:rsidR="002B58BB" w:rsidRDefault="00214CA9" w:rsidP="00926E90">
      <w:pPr>
        <w:spacing w:after="0" w:line="240" w:lineRule="auto"/>
      </w:pPr>
      <w:sdt>
        <w:sdtPr>
          <w:id w:val="632834314"/>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CBRN Laboratories (1.4.2.4.9)</w:t>
      </w:r>
    </w:p>
    <w:p w14:paraId="27DA9D77" w14:textId="77777777" w:rsidR="005926A3" w:rsidRDefault="005926A3" w:rsidP="00BA2FF7">
      <w:pPr>
        <w:pStyle w:val="Heading1"/>
        <w:ind w:left="547" w:hanging="547"/>
      </w:pPr>
      <w:r>
        <w:t>Deliverable Items</w:t>
      </w:r>
    </w:p>
    <w:p w14:paraId="08D7B36D" w14:textId="77777777" w:rsidR="005926A3" w:rsidRPr="00926E90" w:rsidRDefault="005926A3" w:rsidP="005926A3">
      <w:pPr>
        <w:rPr>
          <w:rStyle w:val="SubtleEmphasis"/>
        </w:rPr>
      </w:pPr>
      <w:r w:rsidRPr="00926E90">
        <w:rPr>
          <w:rStyle w:val="SubtleEmphasis"/>
        </w:rPr>
        <w:t>Select all that apply.  (Does not include data.)</w:t>
      </w:r>
    </w:p>
    <w:p w14:paraId="560B243A" w14:textId="77777777" w:rsidR="005926A3" w:rsidRDefault="00214CA9" w:rsidP="00926E90">
      <w:pPr>
        <w:spacing w:after="0" w:line="240" w:lineRule="auto"/>
      </w:pPr>
      <w:sdt>
        <w:sdtPr>
          <w:id w:val="2064133458"/>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Reports</w:t>
      </w:r>
    </w:p>
    <w:p w14:paraId="0479B7CA" w14:textId="6179146B" w:rsidR="005926A3" w:rsidRPr="00FE51A2" w:rsidRDefault="00214CA9" w:rsidP="00926E90">
      <w:pPr>
        <w:spacing w:after="0" w:line="240" w:lineRule="auto"/>
      </w:pPr>
      <w:sdt>
        <w:sdtPr>
          <w:id w:val="-339006760"/>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Hardware (Equipment) – S</w:t>
      </w:r>
      <w:r w:rsidR="005926A3" w:rsidRPr="00FE51A2">
        <w:t xml:space="preserve">ee Unit Item ID &amp; Valuation </w:t>
      </w:r>
      <w:r w:rsidR="00463861" w:rsidRPr="00463861">
        <w:t xml:space="preserve">Defense Federal Acquisition Regulation Supplement </w:t>
      </w:r>
      <w:r w:rsidR="00463861">
        <w:t>(</w:t>
      </w:r>
      <w:r w:rsidR="005926A3" w:rsidRPr="00FE51A2">
        <w:t>DFARS</w:t>
      </w:r>
      <w:r w:rsidR="00463861">
        <w:t>)</w:t>
      </w:r>
      <w:r w:rsidR="005926A3" w:rsidRPr="00FE51A2">
        <w:t xml:space="preserve"> 252.211-7003</w:t>
      </w:r>
    </w:p>
    <w:p w14:paraId="4C8C7761" w14:textId="77777777" w:rsidR="005926A3" w:rsidRPr="00FE51A2" w:rsidRDefault="00214CA9" w:rsidP="00926E90">
      <w:pPr>
        <w:spacing w:after="0" w:line="240" w:lineRule="auto"/>
      </w:pPr>
      <w:sdt>
        <w:sdtPr>
          <w:id w:val="-53743653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r>
      <w:r w:rsidR="005926A3" w:rsidRPr="00FE51A2">
        <w:t>Software (Software Code)</w:t>
      </w:r>
    </w:p>
    <w:p w14:paraId="43CCAA84" w14:textId="77777777" w:rsidR="005926A3" w:rsidRPr="00FE51A2" w:rsidRDefault="00214CA9" w:rsidP="00926E90">
      <w:pPr>
        <w:spacing w:after="0" w:line="240" w:lineRule="auto"/>
      </w:pPr>
      <w:sdt>
        <w:sdtPr>
          <w:id w:val="-670957685"/>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r>
      <w:r w:rsidR="005926A3" w:rsidRPr="00FE51A2">
        <w:t>Software (Commercial Off-the-Shelf (COTS))</w:t>
      </w:r>
    </w:p>
    <w:p w14:paraId="1DB66179" w14:textId="77777777" w:rsidR="005926A3" w:rsidRDefault="00214CA9" w:rsidP="005926A3">
      <w:sdt>
        <w:sdtPr>
          <w:id w:val="-184676278"/>
          <w14:checkbox>
            <w14:checked w14:val="0"/>
            <w14:checkedState w14:val="2612" w14:font="MS Gothic"/>
            <w14:uncheckedState w14:val="2610" w14:font="MS Gothic"/>
          </w14:checkbox>
        </w:sdtPr>
        <w:sdtEndPr/>
        <w:sdtContent>
          <w:r w:rsidR="00DB7C11">
            <w:rPr>
              <w:rFonts w:ascii="MS Gothic" w:eastAsia="MS Gothic" w:hAnsi="MS Gothic" w:hint="eastAsia"/>
            </w:rPr>
            <w:t>☐</w:t>
          </w:r>
        </w:sdtContent>
      </w:sdt>
      <w:r w:rsidR="005926A3">
        <w:tab/>
      </w:r>
      <w:r w:rsidR="005926A3" w:rsidRPr="00FE51A2">
        <w:t>Prototype</w:t>
      </w:r>
      <w:r w:rsidR="005926A3">
        <w:t>s (N</w:t>
      </w:r>
      <w:r w:rsidR="005926A3" w:rsidRPr="00FE51A2">
        <w:t>eed to have means of tracking cost to build)</w:t>
      </w:r>
    </w:p>
    <w:p w14:paraId="78C6186D" w14:textId="77777777" w:rsidR="00B91EB3" w:rsidRDefault="00B91EB3" w:rsidP="00BA2FF7">
      <w:pPr>
        <w:pStyle w:val="Heading1"/>
        <w:ind w:left="547" w:hanging="547"/>
      </w:pPr>
      <w:r>
        <w:t>Mandatory Use Contracts</w:t>
      </w:r>
    </w:p>
    <w:p w14:paraId="62A3F3A6" w14:textId="77777777" w:rsidR="00B91EB3" w:rsidRDefault="00B91EB3" w:rsidP="00B91EB3">
      <w:r w:rsidRPr="00CD7E22">
        <w:t>Does your agency have any mandatory use contracts for this type of requirement?</w:t>
      </w:r>
    </w:p>
    <w:p w14:paraId="46C7106E" w14:textId="77777777" w:rsidR="00B91EB3" w:rsidRDefault="00214CA9" w:rsidP="00B91EB3">
      <w:sdt>
        <w:sdtPr>
          <w:id w:val="-1815171795"/>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284893748"/>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p>
    <w:p w14:paraId="5DCE1FBB" w14:textId="77777777" w:rsidR="00B91EB3" w:rsidRDefault="00B91EB3" w:rsidP="00B91EB3">
      <w:r>
        <w:t>If yes, please identify the mandatory use contract vehicle and provide the wavier documentation obtained.</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14:paraId="7F4412AF" w14:textId="77777777" w:rsidTr="00C94776">
        <w:tc>
          <w:tcPr>
            <w:tcW w:w="9350" w:type="dxa"/>
            <w:shd w:val="clear" w:color="auto" w:fill="DEEAF6" w:themeFill="accent1" w:themeFillTint="33"/>
          </w:tcPr>
          <w:p w14:paraId="47A4259F" w14:textId="77777777" w:rsidR="00B91EB3" w:rsidRDefault="00B91EB3" w:rsidP="00C94776"/>
        </w:tc>
      </w:tr>
    </w:tbl>
    <w:p w14:paraId="718DC02D" w14:textId="77777777" w:rsidR="00B91EB3" w:rsidRDefault="00B91EB3" w:rsidP="00BA2FF7">
      <w:pPr>
        <w:pStyle w:val="Heading1"/>
        <w:ind w:left="547" w:hanging="547"/>
      </w:pPr>
      <w:r>
        <w:t>Previous/Current Contract Info</w:t>
      </w:r>
    </w:p>
    <w:p w14:paraId="6612813F" w14:textId="77777777" w:rsidR="00B91EB3" w:rsidRDefault="00B91EB3" w:rsidP="00B91EB3">
      <w:r>
        <w:t>Is a contractor doing, or has a contractor ever done, any part of the work that is detailed in the PWS for this effort?</w:t>
      </w:r>
      <w:r>
        <w:tab/>
      </w:r>
    </w:p>
    <w:p w14:paraId="6EF53450" w14:textId="77777777" w:rsidR="00B91EB3" w:rsidRDefault="00214CA9" w:rsidP="00B91EB3">
      <w:sdt>
        <w:sdtPr>
          <w:id w:val="-265925631"/>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126128316"/>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 xml:space="preserve">No </w:t>
      </w:r>
    </w:p>
    <w:p w14:paraId="4FE4C684" w14:textId="77777777" w:rsidR="00B91EB3" w:rsidRDefault="00B91EB3" w:rsidP="00B91EB3">
      <w:r>
        <w:t>If yes, insert current contractor name(s) and the percentage of the work in the PWS that they are currently executing or have executed in the past:</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14:paraId="2868B40A" w14:textId="77777777" w:rsidTr="00C94776">
        <w:tc>
          <w:tcPr>
            <w:tcW w:w="9350" w:type="dxa"/>
            <w:shd w:val="clear" w:color="auto" w:fill="DEEAF6" w:themeFill="accent1" w:themeFillTint="33"/>
          </w:tcPr>
          <w:p w14:paraId="16A08DB2" w14:textId="77777777" w:rsidR="00B91EB3" w:rsidRDefault="00B91EB3" w:rsidP="00C94776"/>
        </w:tc>
      </w:tr>
    </w:tbl>
    <w:p w14:paraId="53CFBD52" w14:textId="77777777" w:rsidR="00B91EB3" w:rsidRDefault="00B91EB3" w:rsidP="00B91EB3">
      <w:pPr>
        <w:spacing w:after="0"/>
      </w:pPr>
    </w:p>
    <w:p w14:paraId="639EDCE3" w14:textId="77100A79" w:rsidR="00B91EB3" w:rsidRDefault="00B91EB3" w:rsidP="00B91EB3">
      <w:r w:rsidRPr="0014019E">
        <w:t xml:space="preserve">The previous contract(s) and </w:t>
      </w:r>
      <w:r w:rsidR="00463861">
        <w:t>TO</w:t>
      </w:r>
      <w:r>
        <w:t xml:space="preserve"> number(s) is (are):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14:paraId="1564D690" w14:textId="77777777" w:rsidTr="00C94776">
        <w:tc>
          <w:tcPr>
            <w:tcW w:w="9350" w:type="dxa"/>
            <w:shd w:val="clear" w:color="auto" w:fill="DEEAF6" w:themeFill="accent1" w:themeFillTint="33"/>
          </w:tcPr>
          <w:p w14:paraId="608CD218" w14:textId="77777777" w:rsidR="00B91EB3" w:rsidRDefault="00B91EB3" w:rsidP="00C94776"/>
        </w:tc>
      </w:tr>
    </w:tbl>
    <w:p w14:paraId="5887FEBE" w14:textId="77777777" w:rsidR="00B91EB3" w:rsidRDefault="00B91EB3" w:rsidP="00B91EB3">
      <w:pPr>
        <w:spacing w:after="0"/>
      </w:pPr>
    </w:p>
    <w:p w14:paraId="7444B435" w14:textId="77777777" w:rsidR="00B91EB3" w:rsidRDefault="00B91EB3" w:rsidP="00B91EB3">
      <w:r>
        <w:t>Previous/current contract a Small Business Set-Aside?</w:t>
      </w:r>
    </w:p>
    <w:p w14:paraId="0AC258C2" w14:textId="77777777" w:rsidR="00B91EB3" w:rsidRDefault="00214CA9" w:rsidP="00B91EB3">
      <w:sdt>
        <w:sdtPr>
          <w:id w:val="-928041510"/>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1015802124"/>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r w:rsidR="00B91EB3">
        <w:tab/>
      </w:r>
      <w:r w:rsidR="00B91EB3">
        <w:tab/>
      </w:r>
    </w:p>
    <w:p w14:paraId="5CD3B58F" w14:textId="77777777" w:rsidR="00B91EB3" w:rsidRDefault="00B91EB3" w:rsidP="00B91EB3">
      <w:r>
        <w:t>Current contract end date: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14:paraId="498F81B3" w14:textId="77777777" w:rsidTr="00C94776">
        <w:tc>
          <w:tcPr>
            <w:tcW w:w="9350" w:type="dxa"/>
            <w:shd w:val="clear" w:color="auto" w:fill="DEEAF6" w:themeFill="accent1" w:themeFillTint="33"/>
          </w:tcPr>
          <w:p w14:paraId="40E919CC" w14:textId="77777777" w:rsidR="00B91EB3" w:rsidRDefault="00B91EB3" w:rsidP="00C94776"/>
        </w:tc>
      </w:tr>
    </w:tbl>
    <w:p w14:paraId="216F7AA8" w14:textId="77777777" w:rsidR="00B91EB3" w:rsidRDefault="00B91EB3" w:rsidP="00B91EB3">
      <w:pPr>
        <w:spacing w:after="0"/>
      </w:pPr>
    </w:p>
    <w:p w14:paraId="4CC15593" w14:textId="77777777" w:rsidR="00B91EB3" w:rsidRPr="006C67F6" w:rsidRDefault="00B91EB3" w:rsidP="002A3A4B">
      <w:r>
        <w:t>Date current contract is expected to be fully funded based on average annual burn rate:</w:t>
      </w:r>
      <w:r w:rsidR="006C67F6">
        <w:tab/>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14:paraId="0D86C3C7" w14:textId="77777777" w:rsidTr="00C94776">
        <w:tc>
          <w:tcPr>
            <w:tcW w:w="9350" w:type="dxa"/>
            <w:shd w:val="clear" w:color="auto" w:fill="DEEAF6" w:themeFill="accent1" w:themeFillTint="33"/>
          </w:tcPr>
          <w:p w14:paraId="2FFCBA60" w14:textId="77777777" w:rsidR="00B91EB3" w:rsidRDefault="00B91EB3" w:rsidP="00C94776"/>
        </w:tc>
      </w:tr>
    </w:tbl>
    <w:p w14:paraId="0611670A" w14:textId="77777777" w:rsidR="00B91EB3" w:rsidRDefault="00B91EB3" w:rsidP="00B91EB3">
      <w:pPr>
        <w:spacing w:after="0"/>
      </w:pPr>
    </w:p>
    <w:p w14:paraId="64AA9185" w14:textId="77777777" w:rsidR="00B91EB3" w:rsidRDefault="00B91EB3" w:rsidP="00B91EB3">
      <w:r>
        <w:t>Transition out plan provided in previous contract?</w:t>
      </w:r>
    </w:p>
    <w:p w14:paraId="7E9D7F91" w14:textId="77777777" w:rsidR="00B91EB3" w:rsidRDefault="00214CA9" w:rsidP="00B91EB3">
      <w:sdt>
        <w:sdtPr>
          <w:id w:val="-1486849266"/>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897632809"/>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r w:rsidR="00B91EB3">
        <w:tab/>
      </w:r>
      <w:r w:rsidR="00B91EB3">
        <w:tab/>
      </w:r>
    </w:p>
    <w:p w14:paraId="7B33DF39" w14:textId="77777777" w:rsidR="0000523A" w:rsidRDefault="0000523A" w:rsidP="00BA2FF7">
      <w:pPr>
        <w:pStyle w:val="Heading1"/>
        <w:ind w:left="547" w:hanging="547"/>
      </w:pPr>
      <w:r>
        <w:t>Inherently Governmental Functions</w:t>
      </w:r>
    </w:p>
    <w:p w14:paraId="10079029" w14:textId="6BE3B9CB" w:rsidR="00B22CD9" w:rsidRDefault="00B22CD9" w:rsidP="00B22CD9">
      <w:r>
        <w:t xml:space="preserve">Services contracts shall not be used for the performance of inherently governmental functions </w:t>
      </w:r>
      <w:r w:rsidR="00463861">
        <w:t>In Accordance With (</w:t>
      </w:r>
      <w:r>
        <w:t>IAW</w:t>
      </w:r>
      <w:r w:rsidR="00463861">
        <w:t>)</w:t>
      </w:r>
      <w:r>
        <w:t xml:space="preserve"> FAR 7.503 definition</w:t>
      </w:r>
      <w:r w:rsidR="0075678C">
        <w:t xml:space="preserve"> nor outsourced IAW </w:t>
      </w:r>
      <w:r w:rsidR="0075678C" w:rsidRPr="0075678C">
        <w:t>Title 10, United States Code § 2461</w:t>
      </w:r>
      <w:r>
        <w:t xml:space="preserve">.  IAW Office of Federal Procurement Policy letter 92-1: As a matter of policy, an "inherently governmental function" is a function that is so intimately related to the public interest as to mandate performance by Government employees. These functions include those activities that require either the exercise of discretion in applying Government authority or the making of value judgments in making decisions for the Government. Governmental functions normally fall into two categories: (1) the act of governing, i.e., the discretionary exercise of Government authority, and (2) monetary transactions and entitlements.  </w:t>
      </w:r>
    </w:p>
    <w:p w14:paraId="0D323184" w14:textId="40FC5EF1" w:rsidR="00B22CD9" w:rsidRDefault="00B22CD9" w:rsidP="003F2A76">
      <w:pPr>
        <w:pStyle w:val="ListParagraph"/>
        <w:numPr>
          <w:ilvl w:val="0"/>
          <w:numId w:val="4"/>
        </w:numPr>
      </w:pPr>
      <w:r>
        <w:t xml:space="preserve">Guidance for this determination may be found at:  REFERENCE:  </w:t>
      </w:r>
      <w:r w:rsidR="00463861">
        <w:t>Office of the Under Secretary of Defense (</w:t>
      </w:r>
      <w:r>
        <w:t>OUSD</w:t>
      </w:r>
      <w:r w:rsidR="00463861">
        <w:t xml:space="preserve">) </w:t>
      </w:r>
      <w:r w:rsidR="00A51772">
        <w:t xml:space="preserve">for Acquisition, Technology, and Logistics </w:t>
      </w:r>
      <w:r>
        <w:t>(AT&amp;L)/</w:t>
      </w:r>
      <w:r w:rsidR="00A51772">
        <w:t>Defense Procurement and Acquisition Policy (</w:t>
      </w:r>
      <w:r>
        <w:t>DPAP</w:t>
      </w:r>
      <w:r w:rsidR="00A51772">
        <w:t>)</w:t>
      </w:r>
      <w:r>
        <w:t xml:space="preserve"> Memo, 25 Feb 13; </w:t>
      </w:r>
      <w:hyperlink r:id="rId8" w:anchor="zoom=100%" w:history="1">
        <w:r w:rsidRPr="00D44B96">
          <w:rPr>
            <w:rStyle w:val="Hyperlink"/>
          </w:rPr>
          <w:t>http://www.acq.osd.mil/dpap/policy/policyvault/USA007619-12-DPAP.pdf#zoom=100%</w:t>
        </w:r>
      </w:hyperlink>
      <w:r>
        <w:t>.</w:t>
      </w:r>
    </w:p>
    <w:p w14:paraId="59A24668" w14:textId="77777777" w:rsidR="00B22CD9" w:rsidRDefault="00886129" w:rsidP="003F2A76">
      <w:pPr>
        <w:pStyle w:val="ListParagraph"/>
        <w:numPr>
          <w:ilvl w:val="0"/>
          <w:numId w:val="4"/>
        </w:numPr>
      </w:pPr>
      <w:r>
        <w:t xml:space="preserve">Federal Register Notice: </w:t>
      </w:r>
      <w:r w:rsidR="00B22CD9">
        <w:t xml:space="preserve"> </w:t>
      </w:r>
      <w:hyperlink r:id="rId9" w:history="1">
        <w:r w:rsidR="00B22CD9" w:rsidRPr="00D44B96">
          <w:rPr>
            <w:rStyle w:val="Hyperlink"/>
          </w:rPr>
          <w:t>http://www.gpo.gov/fdsys/pkg/FR-2011-09-12/pdf/2011-23165.pdf</w:t>
        </w:r>
      </w:hyperlink>
      <w:r w:rsidR="00B22CD9">
        <w:t>, Policy Letter 11-01 starts on page 10.</w:t>
      </w:r>
    </w:p>
    <w:p w14:paraId="4173D920" w14:textId="77777777" w:rsidR="0075678C" w:rsidRDefault="0075678C" w:rsidP="003F2A76">
      <w:pPr>
        <w:pStyle w:val="ListParagraph"/>
        <w:numPr>
          <w:ilvl w:val="0"/>
          <w:numId w:val="4"/>
        </w:numPr>
      </w:pPr>
      <w:r w:rsidRPr="0075678C">
        <w:t>Title 10, United States Code § 2461</w:t>
      </w:r>
      <w:r>
        <w:t>.</w:t>
      </w:r>
    </w:p>
    <w:p w14:paraId="145D7632" w14:textId="77777777" w:rsidR="0075678C" w:rsidRDefault="0075678C" w:rsidP="003F2A76">
      <w:pPr>
        <w:pStyle w:val="ListParagraph"/>
        <w:numPr>
          <w:ilvl w:val="0"/>
          <w:numId w:val="4"/>
        </w:numPr>
      </w:pPr>
      <w:r w:rsidRPr="0075678C">
        <w:t>Office of Management and Budget Circular A-76</w:t>
      </w:r>
      <w:r>
        <w:t>.</w:t>
      </w:r>
    </w:p>
    <w:p w14:paraId="608C2046" w14:textId="77777777" w:rsidR="00B22CD9" w:rsidRDefault="00EC24E9" w:rsidP="00C16C0A">
      <w:pPr>
        <w:pStyle w:val="Heading2"/>
        <w:numPr>
          <w:ilvl w:val="0"/>
          <w:numId w:val="0"/>
        </w:numPr>
      </w:pPr>
      <w:r>
        <w:t>6.1</w:t>
      </w:r>
      <w:r>
        <w:tab/>
      </w:r>
      <w:r w:rsidR="00B22CD9">
        <w:t>Definitions</w:t>
      </w:r>
    </w:p>
    <w:p w14:paraId="7ABEFB89" w14:textId="77777777" w:rsidR="00B22CD9" w:rsidRPr="00B22CD9" w:rsidRDefault="00B22CD9" w:rsidP="00B22CD9">
      <w:pPr>
        <w:pStyle w:val="Heading3"/>
      </w:pPr>
      <w:r w:rsidRPr="00B22CD9">
        <w:rPr>
          <w:rStyle w:val="Heading3Char"/>
        </w:rPr>
        <w:t>Closely Associated Functions</w:t>
      </w:r>
    </w:p>
    <w:p w14:paraId="0BC4BC5F" w14:textId="2B514578" w:rsidR="00B22CD9" w:rsidRDefault="00B22CD9" w:rsidP="00B22CD9">
      <w:r>
        <w:t xml:space="preserve">Supporting or providing advice or recommendations with regard to inherently governmental activities. Some examples of inherently governmental functions listed in the </w:t>
      </w:r>
      <w:r w:rsidR="00A51772">
        <w:t>Office of Federal Procurement Policy (</w:t>
      </w:r>
      <w:r>
        <w:t>OFPP</w:t>
      </w:r>
      <w:r w:rsidR="00A51772">
        <w:t>)</w:t>
      </w:r>
      <w:r>
        <w:t xml:space="preserve"> Policy Letter include: participation as a voting member on any source selection board; determining prices to be fair and reasonable; and awarding contracts. The OFPP Policy Letter provides test whereby managers can determine if the needed tasks are inherently governmental functions. Tasks that are closely associated with inherently governmental functions are those contractor duties that could </w:t>
      </w:r>
      <w:r>
        <w:lastRenderedPageBreak/>
        <w:t>expand to become inherently governmental functions.  Some examples of closely associated with inherently governmental functions include: participating as a technical advisor to a source selection board; drafting the price negotiation memorandum; or providing inspection services.</w:t>
      </w:r>
    </w:p>
    <w:p w14:paraId="157B36E5" w14:textId="77777777" w:rsidR="00B22CD9" w:rsidRDefault="00B22CD9" w:rsidP="00B22CD9">
      <w:pPr>
        <w:pStyle w:val="Heading3"/>
      </w:pPr>
      <w:r>
        <w:t>Critical Functions</w:t>
      </w:r>
    </w:p>
    <w:p w14:paraId="32F5B361" w14:textId="77777777" w:rsidR="00B22CD9" w:rsidRDefault="00B22CD9" w:rsidP="00B22CD9">
      <w:r>
        <w:t>A function that is necessary to the agency being able to effectively perform and maintain control of its mission and operations. Typically, critical functions are recurring and long-term in duration.</w:t>
      </w:r>
    </w:p>
    <w:p w14:paraId="16EF4EF5" w14:textId="77777777" w:rsidR="00B22CD9" w:rsidRDefault="00B22CD9" w:rsidP="00B22CD9">
      <w:pPr>
        <w:pStyle w:val="Heading3"/>
      </w:pPr>
      <w:r>
        <w:t>Other Functions</w:t>
      </w:r>
    </w:p>
    <w:p w14:paraId="75B4C1C0" w14:textId="67E2E4A2" w:rsidR="00B22CD9" w:rsidRPr="00926E90" w:rsidRDefault="00B22CD9" w:rsidP="00B22CD9">
      <w:r>
        <w:t xml:space="preserve">The services are neither of the above. </w:t>
      </w:r>
      <w:r w:rsidRPr="00612FA9">
        <w:rPr>
          <w:sz w:val="16"/>
          <w:szCs w:val="16"/>
        </w:rPr>
        <w:t xml:space="preserve"> </w:t>
      </w:r>
    </w:p>
    <w:p w14:paraId="3279DE28" w14:textId="77777777" w:rsidR="00B22CD9" w:rsidRPr="00926E90" w:rsidRDefault="00B22CD9" w:rsidP="00B22CD9">
      <w:pPr>
        <w:rPr>
          <w:rStyle w:val="SubtleEmphasis"/>
        </w:rPr>
      </w:pPr>
      <w:r w:rsidRPr="00926E90">
        <w:rPr>
          <w:rStyle w:val="SubtleEmphasis"/>
        </w:rPr>
        <w:t>(Select one of the following)</w:t>
      </w:r>
    </w:p>
    <w:p w14:paraId="084C84AB" w14:textId="30808817" w:rsidR="00B22CD9" w:rsidRDefault="00214CA9" w:rsidP="00B22CD9">
      <w:sdt>
        <w:sdtPr>
          <w:id w:val="-423798299"/>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CL = "functions closely associated to inherently governmental functions" (IGF::CL::IGF) </w:t>
      </w:r>
    </w:p>
    <w:p w14:paraId="262BA748" w14:textId="5B61BA78" w:rsidR="00B22CD9" w:rsidRPr="00926E90" w:rsidRDefault="00A51772" w:rsidP="00B22CD9">
      <w:pPr>
        <w:rPr>
          <w:rStyle w:val="SubtleEmphasis"/>
        </w:rPr>
      </w:pPr>
      <w:r>
        <w:rPr>
          <w:rStyle w:val="SubtleEmphasis"/>
        </w:rPr>
        <w:t>If CL, i</w:t>
      </w:r>
      <w:r w:rsidR="00B22CD9" w:rsidRPr="00926E90">
        <w:rPr>
          <w:rStyle w:val="SubtleEmphasis"/>
        </w:rPr>
        <w:t xml:space="preserve">nsert explanation of the implemented control </w:t>
      </w:r>
      <w:r>
        <w:rPr>
          <w:rStyle w:val="SubtleEmphasis"/>
        </w:rPr>
        <w:t>and</w:t>
      </w:r>
      <w:r w:rsidR="00B22CD9" w:rsidRPr="00926E90">
        <w:rPr>
          <w:rStyle w:val="SubtleEmphasis"/>
        </w:rPr>
        <w:t xml:space="preserve"> oversight that will be taken to ensure this does not become inherently governmental.</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14:paraId="3DC93E20" w14:textId="77777777" w:rsidTr="00EC1625">
        <w:tc>
          <w:tcPr>
            <w:tcW w:w="9350" w:type="dxa"/>
            <w:shd w:val="clear" w:color="auto" w:fill="DEEAF6" w:themeFill="accent1" w:themeFillTint="33"/>
          </w:tcPr>
          <w:p w14:paraId="73BD3C8F" w14:textId="77777777" w:rsidR="00295A43" w:rsidRDefault="00295A43" w:rsidP="00EC1625"/>
        </w:tc>
      </w:tr>
    </w:tbl>
    <w:p w14:paraId="6C6114FC" w14:textId="77777777" w:rsidR="00295A43" w:rsidRDefault="00295A43" w:rsidP="000E537B">
      <w:pPr>
        <w:spacing w:after="0"/>
      </w:pPr>
    </w:p>
    <w:p w14:paraId="636EECB3" w14:textId="55332009" w:rsidR="00B22CD9" w:rsidRDefault="00214CA9" w:rsidP="00926E90">
      <w:pPr>
        <w:spacing w:after="0"/>
      </w:pPr>
      <w:sdt>
        <w:sdtPr>
          <w:id w:val="289859176"/>
          <w14:checkbox>
            <w14:checked w14:val="0"/>
            <w14:checkedState w14:val="2612" w14:font="MS Gothic"/>
            <w14:uncheckedState w14:val="2610" w14:font="MS Gothic"/>
          </w14:checkbox>
        </w:sdtPr>
        <w:sdtEndPr/>
        <w:sdtContent>
          <w:r w:rsidR="0064306A">
            <w:rPr>
              <w:rFonts w:ascii="MS Gothic" w:eastAsia="MS Gothic" w:hAnsi="MS Gothic" w:hint="eastAsia"/>
            </w:rPr>
            <w:t>☐</w:t>
          </w:r>
        </w:sdtContent>
      </w:sdt>
      <w:r w:rsidR="00B22CD9">
        <w:tab/>
        <w:t xml:space="preserve"> CT = "critical functions" (IGF::CT::IGF)</w:t>
      </w:r>
    </w:p>
    <w:p w14:paraId="317B7142" w14:textId="54A5FCC2" w:rsidR="00B22CD9" w:rsidRDefault="00214CA9" w:rsidP="00926E90">
      <w:pPr>
        <w:spacing w:after="0"/>
      </w:pPr>
      <w:sdt>
        <w:sdtPr>
          <w:id w:val="-1892108295"/>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 OT = "other functions" (IGF::OT::IGF)</w:t>
      </w:r>
    </w:p>
    <w:p w14:paraId="67B4CFD5" w14:textId="77777777" w:rsidR="00B22CD9" w:rsidRDefault="00214CA9" w:rsidP="00B22CD9">
      <w:sdt>
        <w:sdtPr>
          <w:id w:val="897477431"/>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 A combination of CL and CT (IGF::CL,CT::IGF) </w:t>
      </w:r>
    </w:p>
    <w:p w14:paraId="1E961CEF" w14:textId="78C1F03D" w:rsidR="007037A2" w:rsidRDefault="00B22CD9" w:rsidP="007037A2">
      <w:pPr>
        <w:rPr>
          <w:rStyle w:val="SubtleEmphasis"/>
        </w:rPr>
      </w:pPr>
      <w:r w:rsidRPr="00926E90">
        <w:rPr>
          <w:rStyle w:val="SubtleEmphasis"/>
        </w:rPr>
        <w:t xml:space="preserve">If CL,CT </w:t>
      </w:r>
      <w:r w:rsidR="00A51772">
        <w:rPr>
          <w:rStyle w:val="SubtleEmphasis"/>
        </w:rPr>
        <w:t>insert</w:t>
      </w:r>
      <w:r w:rsidR="00A51772" w:rsidRPr="00926E90">
        <w:rPr>
          <w:rStyle w:val="SubtleEmphasis"/>
        </w:rPr>
        <w:t xml:space="preserve"> </w:t>
      </w:r>
      <w:r w:rsidRPr="00926E90">
        <w:rPr>
          <w:rStyle w:val="SubtleEmphasis"/>
        </w:rPr>
        <w:t xml:space="preserve">explanation of the implemented control </w:t>
      </w:r>
      <w:r w:rsidR="00A51772">
        <w:rPr>
          <w:rStyle w:val="SubtleEmphasis"/>
        </w:rPr>
        <w:t>and</w:t>
      </w:r>
      <w:r w:rsidRPr="00926E90">
        <w:rPr>
          <w:rStyle w:val="SubtleEmphasis"/>
        </w:rPr>
        <w:t xml:space="preserve"> oversight that will be taken to ensure this does not </w:t>
      </w:r>
      <w:r w:rsidR="00EE45F4" w:rsidRPr="00926E90">
        <w:rPr>
          <w:rStyle w:val="SubtleEmphasis"/>
        </w:rPr>
        <w:t>become inherently governmental.</w:t>
      </w:r>
    </w:p>
    <w:tbl>
      <w:tblPr>
        <w:tblStyle w:val="TableGrid"/>
        <w:tblpPr w:leftFromText="180" w:rightFromText="180" w:vertAnchor="text" w:horzAnchor="margin" w:tblpY="-6"/>
        <w:tblW w:w="9396" w:type="dxa"/>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96"/>
      </w:tblGrid>
      <w:tr w:rsidR="00063204" w14:paraId="6E647744" w14:textId="77777777" w:rsidTr="00063204">
        <w:trPr>
          <w:trHeight w:val="273"/>
        </w:trPr>
        <w:tc>
          <w:tcPr>
            <w:tcW w:w="9396" w:type="dxa"/>
            <w:shd w:val="clear" w:color="auto" w:fill="DEEAF6" w:themeFill="accent1" w:themeFillTint="33"/>
          </w:tcPr>
          <w:p w14:paraId="7FE0CEA4" w14:textId="77777777" w:rsidR="00063204" w:rsidRDefault="00063204" w:rsidP="00063204"/>
        </w:tc>
      </w:tr>
    </w:tbl>
    <w:p w14:paraId="1F405820" w14:textId="77777777" w:rsidR="00063204" w:rsidRDefault="00063204" w:rsidP="007037A2">
      <w:pPr>
        <w:rPr>
          <w:rStyle w:val="SubtleEmphasis"/>
        </w:rPr>
      </w:pPr>
    </w:p>
    <w:p w14:paraId="0281972D" w14:textId="77777777" w:rsidR="00063204" w:rsidRDefault="0075678C" w:rsidP="00063204">
      <w:pPr>
        <w:pStyle w:val="Heading1"/>
        <w:ind w:left="547" w:hanging="547"/>
      </w:pPr>
      <w:r>
        <w:t xml:space="preserve">Non-personal service </w:t>
      </w:r>
    </w:p>
    <w:p w14:paraId="40913AC4" w14:textId="41388451" w:rsidR="0075678C" w:rsidRDefault="00214CA9" w:rsidP="001773C1">
      <w:pPr>
        <w:pStyle w:val="Default"/>
      </w:pPr>
      <w:sdt>
        <w:sdtPr>
          <w:id w:val="-2095621578"/>
          <w14:checkbox>
            <w14:checked w14:val="0"/>
            <w14:checkedState w14:val="2612" w14:font="MS Gothic"/>
            <w14:uncheckedState w14:val="2610" w14:font="MS Gothic"/>
          </w14:checkbox>
        </w:sdtPr>
        <w:sdtEndPr/>
        <w:sdtContent>
          <w:r w:rsidR="001773C1">
            <w:rPr>
              <w:rFonts w:ascii="MS Gothic" w:eastAsia="MS Gothic" w:hAnsi="MS Gothic" w:hint="eastAsia"/>
            </w:rPr>
            <w:t>☐</w:t>
          </w:r>
        </w:sdtContent>
      </w:sdt>
      <w:r w:rsidR="001773C1" w:rsidRPr="001773C1">
        <w:rPr>
          <w:sz w:val="22"/>
          <w:szCs w:val="22"/>
        </w:rPr>
        <w:tab/>
        <w:t>This requirement is a Non-Personal Service.</w:t>
      </w:r>
      <w:r w:rsidR="001773C1">
        <w:rPr>
          <w:sz w:val="22"/>
          <w:szCs w:val="22"/>
        </w:rPr>
        <w:t xml:space="preserve"> </w:t>
      </w:r>
      <w:r w:rsidR="0075678C">
        <w:rPr>
          <w:sz w:val="22"/>
          <w:szCs w:val="22"/>
        </w:rPr>
        <w:t>T</w:t>
      </w:r>
      <w:r w:rsidR="00AA1362">
        <w:rPr>
          <w:sz w:val="22"/>
          <w:szCs w:val="22"/>
        </w:rPr>
        <w:t>he</w:t>
      </w:r>
      <w:r w:rsidR="0075678C">
        <w:rPr>
          <w:sz w:val="22"/>
          <w:szCs w:val="22"/>
        </w:rPr>
        <w:t xml:space="preserve"> requirement does not include unauthorized personal services, either in the way the </w:t>
      </w:r>
      <w:r w:rsidR="00A51772">
        <w:rPr>
          <w:sz w:val="22"/>
          <w:szCs w:val="22"/>
        </w:rPr>
        <w:t>PWS</w:t>
      </w:r>
      <w:r w:rsidR="0075678C">
        <w:rPr>
          <w:sz w:val="22"/>
          <w:szCs w:val="22"/>
        </w:rPr>
        <w:t xml:space="preserve"> is</w:t>
      </w:r>
      <w:r w:rsidR="001773C1">
        <w:rPr>
          <w:sz w:val="22"/>
          <w:szCs w:val="22"/>
        </w:rPr>
        <w:t xml:space="preserve"> </w:t>
      </w:r>
      <w:r w:rsidR="0075678C">
        <w:rPr>
          <w:sz w:val="22"/>
          <w:szCs w:val="22"/>
        </w:rPr>
        <w:t>written or i</w:t>
      </w:r>
      <w:r w:rsidR="001773C1" w:rsidRPr="00AA1362">
        <w:rPr>
          <w:sz w:val="22"/>
          <w:szCs w:val="22"/>
        </w:rPr>
        <w:t xml:space="preserve">n the way the </w:t>
      </w:r>
      <w:r w:rsidR="00A51772">
        <w:rPr>
          <w:sz w:val="22"/>
          <w:szCs w:val="22"/>
        </w:rPr>
        <w:t>TO</w:t>
      </w:r>
      <w:r w:rsidR="00AA1362">
        <w:rPr>
          <w:sz w:val="22"/>
          <w:szCs w:val="22"/>
        </w:rPr>
        <w:t xml:space="preserve"> </w:t>
      </w:r>
      <w:r w:rsidR="001773C1" w:rsidRPr="00AA1362">
        <w:rPr>
          <w:sz w:val="22"/>
          <w:szCs w:val="22"/>
        </w:rPr>
        <w:t>operates</w:t>
      </w:r>
      <w:r w:rsidR="001773C1">
        <w:t>.</w:t>
      </w:r>
    </w:p>
    <w:p w14:paraId="1E884B7F" w14:textId="77777777" w:rsidR="001773C1" w:rsidRDefault="001773C1" w:rsidP="001773C1">
      <w:pPr>
        <w:pStyle w:val="Default"/>
      </w:pPr>
    </w:p>
    <w:p w14:paraId="6DC50CE4" w14:textId="77777777" w:rsidR="00171F8A" w:rsidRDefault="00214CA9" w:rsidP="001773C1">
      <w:sdt>
        <w:sdtPr>
          <w:id w:val="216169884"/>
          <w14:checkbox>
            <w14:checked w14:val="0"/>
            <w14:checkedState w14:val="2612" w14:font="MS Gothic"/>
            <w14:uncheckedState w14:val="2610" w14:font="MS Gothic"/>
          </w14:checkbox>
        </w:sdtPr>
        <w:sdtEndPr/>
        <w:sdtContent>
          <w:r w:rsidR="001773C1">
            <w:rPr>
              <w:rFonts w:ascii="MS Gothic" w:eastAsia="MS Gothic" w:hAnsi="MS Gothic" w:hint="eastAsia"/>
            </w:rPr>
            <w:t>☐</w:t>
          </w:r>
        </w:sdtContent>
      </w:sdt>
      <w:r w:rsidR="001773C1">
        <w:tab/>
        <w:t>This requirement performs Personal Services.</w:t>
      </w:r>
    </w:p>
    <w:p w14:paraId="3B8C8B27" w14:textId="77777777" w:rsidR="00063204" w:rsidRPr="00063204" w:rsidRDefault="007037A2" w:rsidP="00063204">
      <w:pPr>
        <w:pStyle w:val="Heading1"/>
        <w:ind w:left="547" w:hanging="547"/>
      </w:pPr>
      <w:r>
        <w:t>Organizational Conflict of Interest</w:t>
      </w:r>
    </w:p>
    <w:p w14:paraId="19C3289E" w14:textId="77777777" w:rsidR="007037A2" w:rsidRDefault="00214CA9" w:rsidP="007037A2">
      <w:sdt>
        <w:sdtPr>
          <w:id w:val="503327587"/>
          <w14:checkbox>
            <w14:checked w14:val="0"/>
            <w14:checkedState w14:val="2612" w14:font="MS Gothic"/>
            <w14:uncheckedState w14:val="2610" w14:font="MS Gothic"/>
          </w14:checkbox>
        </w:sdtPr>
        <w:sdtEndPr/>
        <w:sdtContent>
          <w:r w:rsidR="001773C1">
            <w:rPr>
              <w:rFonts w:ascii="MS Gothic" w:eastAsia="MS Gothic" w:hAnsi="MS Gothic" w:hint="eastAsia"/>
            </w:rPr>
            <w:t>☐</w:t>
          </w:r>
        </w:sdtContent>
      </w:sdt>
      <w:r w:rsidR="007037A2">
        <w:tab/>
        <w:t>None</w:t>
      </w:r>
    </w:p>
    <w:p w14:paraId="6EF9F9E1" w14:textId="44A9B207" w:rsidR="007037A2" w:rsidRDefault="00214CA9" w:rsidP="007037A2">
      <w:pPr>
        <w:ind w:left="720" w:hanging="720"/>
      </w:pPr>
      <w:sdt>
        <w:sdtPr>
          <w:id w:val="-1271622466"/>
          <w14:checkbox>
            <w14:checked w14:val="0"/>
            <w14:checkedState w14:val="2612" w14:font="MS Gothic"/>
            <w14:uncheckedState w14:val="2610" w14:font="MS Gothic"/>
          </w14:checkbox>
        </w:sdtPr>
        <w:sdtEndPr/>
        <w:sdtContent>
          <w:r w:rsidR="007037A2">
            <w:rPr>
              <w:rFonts w:ascii="MS Gothic" w:eastAsia="MS Gothic" w:hAnsi="MS Gothic" w:hint="eastAsia"/>
            </w:rPr>
            <w:t>☐</w:t>
          </w:r>
        </w:sdtContent>
      </w:sdt>
      <w:r w:rsidR="007037A2">
        <w:tab/>
      </w:r>
      <w:r w:rsidR="007037A2" w:rsidRPr="00C11F3D">
        <w:t xml:space="preserve">There </w:t>
      </w:r>
      <w:r w:rsidR="007037A2">
        <w:t>is</w:t>
      </w:r>
      <w:r w:rsidR="007037A2" w:rsidRPr="00C11F3D">
        <w:t xml:space="preserve"> a potential conflict of interest on this effort</w:t>
      </w:r>
      <w:r w:rsidR="007037A2">
        <w:t>, as described below</w:t>
      </w:r>
      <w:r w:rsidR="007037A2" w:rsidRPr="00C11F3D">
        <w:t xml:space="preserve"> (e.g., </w:t>
      </w:r>
      <w:r w:rsidR="00A51772">
        <w:t>c</w:t>
      </w:r>
      <w:r w:rsidR="007037A2" w:rsidRPr="00C11F3D">
        <w:t xml:space="preserve">ontractor will monitor other contractors' performance and provide a report for Government approval which could cause conflict between the two contractor interests).  See FAR 9.5 and discuss with contracting </w:t>
      </w:r>
      <w:r w:rsidR="00645623">
        <w:t>as soon as possible</w:t>
      </w:r>
      <w:r w:rsidR="007037A2" w:rsidRPr="00C11F3D">
        <w:t>.</w:t>
      </w:r>
    </w:p>
    <w:p w14:paraId="06F42DB2" w14:textId="77777777" w:rsidR="007037A2" w:rsidRPr="00C11F3D" w:rsidRDefault="007037A2" w:rsidP="007037A2">
      <w:pPr>
        <w:rPr>
          <w:rStyle w:val="SubtleEmphasis"/>
        </w:rPr>
      </w:pPr>
      <w:r w:rsidRPr="00C11F3D">
        <w:rPr>
          <w:rStyle w:val="SubtleEmphasis"/>
        </w:rPr>
        <w:t>Insert description of contractor requirements and why there is a conflict of interest.</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7037A2" w14:paraId="1C4BC5E0" w14:textId="77777777" w:rsidTr="00EC1625">
        <w:tc>
          <w:tcPr>
            <w:tcW w:w="9350" w:type="dxa"/>
            <w:shd w:val="clear" w:color="auto" w:fill="DEEAF6" w:themeFill="accent1" w:themeFillTint="33"/>
          </w:tcPr>
          <w:p w14:paraId="6089AA01" w14:textId="77777777" w:rsidR="007037A2" w:rsidRDefault="007037A2" w:rsidP="00EC1625"/>
        </w:tc>
      </w:tr>
    </w:tbl>
    <w:p w14:paraId="21F2F03A" w14:textId="3D1FA1C4" w:rsidR="0000523A" w:rsidRDefault="00631017" w:rsidP="00BA2FF7">
      <w:pPr>
        <w:pStyle w:val="Heading1"/>
        <w:ind w:left="547" w:hanging="547"/>
      </w:pPr>
      <w:r>
        <w:t xml:space="preserve">REQUESTED </w:t>
      </w:r>
      <w:r w:rsidR="003F2A76">
        <w:t xml:space="preserve">Length of </w:t>
      </w:r>
      <w:r w:rsidR="00A51772">
        <w:t>TO</w:t>
      </w:r>
      <w:r w:rsidR="00E40C2E">
        <w:t xml:space="preserve"> </w:t>
      </w:r>
    </w:p>
    <w:p w14:paraId="7FF6B057" w14:textId="77777777" w:rsidR="00E63880" w:rsidRPr="00926E90" w:rsidRDefault="00E63880" w:rsidP="00E63880">
      <w:pPr>
        <w:rPr>
          <w:rStyle w:val="SubtleEmphasis"/>
        </w:rPr>
      </w:pPr>
      <w:r w:rsidRPr="00926E90">
        <w:rPr>
          <w:rStyle w:val="SubtleEmphasis"/>
        </w:rPr>
        <w:t>Insert number of months.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14:paraId="3A9A004F" w14:textId="77777777" w:rsidTr="00EC1625">
        <w:tc>
          <w:tcPr>
            <w:tcW w:w="9350" w:type="dxa"/>
            <w:shd w:val="clear" w:color="auto" w:fill="DEEAF6" w:themeFill="accent1" w:themeFillTint="33"/>
          </w:tcPr>
          <w:p w14:paraId="35D8008D" w14:textId="77777777" w:rsidR="00295A43" w:rsidRDefault="00295A43" w:rsidP="00EC1625"/>
        </w:tc>
      </w:tr>
    </w:tbl>
    <w:p w14:paraId="410A9D6F" w14:textId="77777777" w:rsidR="00383859" w:rsidRDefault="00383859" w:rsidP="00BA2FF7">
      <w:pPr>
        <w:pStyle w:val="Heading1"/>
        <w:ind w:left="547" w:hanging="547"/>
      </w:pPr>
      <w:r>
        <w:t>Options</w:t>
      </w:r>
    </w:p>
    <w:p w14:paraId="4F4670C8" w14:textId="0E29D3CE" w:rsidR="00383859" w:rsidRPr="00926E90" w:rsidRDefault="00383859" w:rsidP="00383859">
      <w:pPr>
        <w:rPr>
          <w:rStyle w:val="SubtleEmphasis"/>
        </w:rPr>
      </w:pPr>
      <w:r w:rsidRPr="00926E90">
        <w:rPr>
          <w:rStyle w:val="SubtleEmphasis"/>
        </w:rPr>
        <w:t>Note:</w:t>
      </w:r>
      <w:r w:rsidRPr="00926E90">
        <w:rPr>
          <w:rStyle w:val="SubtleEmphasis"/>
        </w:rPr>
        <w:tab/>
        <w:t xml:space="preserve">If ONLY one-year money (i.e., O&amp;M funds) is anticipated and the </w:t>
      </w:r>
      <w:r w:rsidR="00A51772">
        <w:rPr>
          <w:rStyle w:val="SubtleEmphasis"/>
        </w:rPr>
        <w:t>P</w:t>
      </w:r>
      <w:r w:rsidRPr="00926E90">
        <w:rPr>
          <w:rStyle w:val="SubtleEmphasis"/>
        </w:rPr>
        <w:t xml:space="preserve">eriod of </w:t>
      </w:r>
      <w:r w:rsidR="00A51772">
        <w:rPr>
          <w:rStyle w:val="SubtleEmphasis"/>
        </w:rPr>
        <w:t>P</w:t>
      </w:r>
      <w:r w:rsidRPr="00926E90">
        <w:rPr>
          <w:rStyle w:val="SubtleEmphasis"/>
        </w:rPr>
        <w:t>erformance</w:t>
      </w:r>
      <w:r w:rsidR="00A51772">
        <w:rPr>
          <w:rStyle w:val="SubtleEmphasis"/>
        </w:rPr>
        <w:t xml:space="preserve"> (PoP)</w:t>
      </w:r>
      <w:r w:rsidRPr="00926E90">
        <w:rPr>
          <w:rStyle w:val="SubtleEmphasis"/>
        </w:rPr>
        <w:t xml:space="preserve"> is greater than 12 months, the contract must be set up with a base period and options. Be cognizant of the hard cut-off </w:t>
      </w:r>
      <w:r w:rsidR="00A51772">
        <w:rPr>
          <w:rStyle w:val="SubtleEmphasis"/>
        </w:rPr>
        <w:t>PoP</w:t>
      </w:r>
      <w:r w:rsidRPr="00926E90">
        <w:rPr>
          <w:rStyle w:val="SubtleEmphasis"/>
        </w:rPr>
        <w:t xml:space="preserve"> dates for the IAC </w:t>
      </w:r>
      <w:r w:rsidR="00A51772">
        <w:rPr>
          <w:rStyle w:val="SubtleEmphasis"/>
        </w:rPr>
        <w:t>Multiple Award Contract (</w:t>
      </w:r>
      <w:r w:rsidRPr="00926E90">
        <w:rPr>
          <w:rStyle w:val="SubtleEmphasis"/>
        </w:rPr>
        <w:t>MAC</w:t>
      </w:r>
      <w:r w:rsidR="00A51772">
        <w:rPr>
          <w:rStyle w:val="SubtleEmphasis"/>
        </w:rPr>
        <w:t>)</w:t>
      </w:r>
      <w:r w:rsidRPr="00926E90">
        <w:rPr>
          <w:rStyle w:val="SubtleEmphasis"/>
        </w:rPr>
        <w:t xml:space="preserve"> below when determining option periods.</w:t>
      </w:r>
    </w:p>
    <w:p w14:paraId="5C61911B" w14:textId="75AF45AC" w:rsidR="00383859" w:rsidRPr="00926E90" w:rsidRDefault="00383859" w:rsidP="00383859">
      <w:pPr>
        <w:pStyle w:val="ListParagraph"/>
        <w:numPr>
          <w:ilvl w:val="0"/>
          <w:numId w:val="3"/>
        </w:numPr>
        <w:rPr>
          <w:rStyle w:val="SubtleEmphasis"/>
        </w:rPr>
      </w:pPr>
      <w:r w:rsidRPr="00926E90">
        <w:rPr>
          <w:rStyle w:val="SubtleEmphasis"/>
        </w:rPr>
        <w:t>IAC MAC Ordering End Date: 29 SEP 2027</w:t>
      </w:r>
    </w:p>
    <w:p w14:paraId="26089A98" w14:textId="6010CE65" w:rsidR="00383859" w:rsidRPr="00926E90" w:rsidRDefault="00383859" w:rsidP="00383859">
      <w:pPr>
        <w:pStyle w:val="ListParagraph"/>
        <w:numPr>
          <w:ilvl w:val="0"/>
          <w:numId w:val="3"/>
        </w:numPr>
        <w:rPr>
          <w:rStyle w:val="SubtleEmphasis"/>
        </w:rPr>
      </w:pPr>
      <w:r w:rsidRPr="00926E90">
        <w:rPr>
          <w:rStyle w:val="SubtleEmphasis"/>
        </w:rPr>
        <w:t>IAC MAC PoP End Date: 29 SEP 2032</w:t>
      </w:r>
    </w:p>
    <w:p w14:paraId="331F6E45" w14:textId="77777777" w:rsidR="00383859" w:rsidRDefault="00214CA9" w:rsidP="00383859">
      <w:sdt>
        <w:sdtPr>
          <w:id w:val="1409800989"/>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1376885676"/>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14:paraId="57D6179E" w14:textId="77777777" w:rsidR="00383859" w:rsidRDefault="00383859" w:rsidP="00BA2FF7">
      <w:pPr>
        <w:pStyle w:val="Heading1"/>
        <w:ind w:left="547" w:hanging="547"/>
      </w:pPr>
      <w:r>
        <w:t>Special Funding</w:t>
      </w:r>
    </w:p>
    <w:p w14:paraId="4B54FE56" w14:textId="77777777" w:rsidR="00383859" w:rsidRDefault="00383859" w:rsidP="00383859">
      <w:r>
        <w:t>Advisory &amp; Assistance Services coded funds will be used?</w:t>
      </w:r>
    </w:p>
    <w:p w14:paraId="16ADFF56" w14:textId="77777777" w:rsidR="00383859" w:rsidRDefault="00214CA9" w:rsidP="00383859">
      <w:sdt>
        <w:sdtPr>
          <w:id w:val="1707444042"/>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1856576864"/>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14:paraId="2C2954C5" w14:textId="77777777" w:rsidR="00383859" w:rsidRDefault="00383859" w:rsidP="00383859">
      <w:r>
        <w:t>Foreign Military Sales (FMS) coded funds will be used?</w:t>
      </w:r>
    </w:p>
    <w:p w14:paraId="48A5CAD4" w14:textId="77777777" w:rsidR="00383859" w:rsidRDefault="00214CA9" w:rsidP="00383859">
      <w:sdt>
        <w:sdtPr>
          <w:id w:val="-1844079598"/>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896476566"/>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14:paraId="1B6308E0" w14:textId="157A3FB7" w:rsidR="0000523A" w:rsidRDefault="0000523A" w:rsidP="00BA2FF7">
      <w:pPr>
        <w:pStyle w:val="Heading1"/>
        <w:ind w:left="547" w:hanging="547"/>
      </w:pPr>
      <w:r w:rsidRPr="00F24E9E">
        <w:t>Initial</w:t>
      </w:r>
      <w:r>
        <w:t xml:space="preserve"> Funds</w:t>
      </w:r>
    </w:p>
    <w:p w14:paraId="41583565" w14:textId="0E418722" w:rsidR="007E5778" w:rsidRDefault="007E5778" w:rsidP="007E5778">
      <w:r>
        <w:t xml:space="preserve">Insert which quarter and </w:t>
      </w:r>
      <w:r w:rsidR="00A51772">
        <w:t>F</w:t>
      </w:r>
      <w:r>
        <w:t xml:space="preserve">iscal </w:t>
      </w:r>
      <w:r w:rsidR="00A51772">
        <w:t>Y</w:t>
      </w:r>
      <w:r>
        <w:t>ear (FY) initial funds will be provided:</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14:paraId="112DDD94" w14:textId="77777777" w:rsidTr="00EC1625">
        <w:tc>
          <w:tcPr>
            <w:tcW w:w="9350" w:type="dxa"/>
            <w:shd w:val="clear" w:color="auto" w:fill="DEEAF6" w:themeFill="accent1" w:themeFillTint="33"/>
          </w:tcPr>
          <w:p w14:paraId="70052A1F" w14:textId="77777777" w:rsidR="00295A43" w:rsidRDefault="00295A43" w:rsidP="00EC1625"/>
        </w:tc>
      </w:tr>
    </w:tbl>
    <w:p w14:paraId="279A230D" w14:textId="77777777" w:rsidR="007E5778" w:rsidRDefault="007E5778" w:rsidP="007E6498">
      <w:pPr>
        <w:spacing w:after="0"/>
      </w:pPr>
    </w:p>
    <w:p w14:paraId="5F3F6A9C" w14:textId="77777777" w:rsidR="007E5778" w:rsidRDefault="00214CA9" w:rsidP="007E5778">
      <w:sdt>
        <w:sdtPr>
          <w:id w:val="-540129336"/>
          <w14:checkbox>
            <w14:checked w14:val="0"/>
            <w14:checkedState w14:val="2612" w14:font="MS Gothic"/>
            <w14:uncheckedState w14:val="2610" w14:font="MS Gothic"/>
          </w14:checkbox>
        </w:sdtPr>
        <w:sdtEndPr/>
        <w:sdtContent>
          <w:r w:rsidR="007E5778">
            <w:rPr>
              <w:rFonts w:ascii="MS Gothic" w:eastAsia="MS Gothic" w:hAnsi="MS Gothic" w:hint="eastAsia"/>
            </w:rPr>
            <w:t>☐</w:t>
          </w:r>
        </w:sdtContent>
      </w:sdt>
      <w:r w:rsidR="007E5778">
        <w:tab/>
        <w:t>Single Year Funds</w:t>
      </w:r>
      <w:r w:rsidR="007E5778">
        <w:tab/>
      </w:r>
      <w:r w:rsidR="007E5778" w:rsidRPr="007E5778">
        <w:rPr>
          <w:rStyle w:val="SubtleEmphasis"/>
        </w:rPr>
        <w:t xml:space="preserve">Insert amount </w:t>
      </w:r>
      <w:r w:rsidR="00EE45F4">
        <w:rPr>
          <w:rStyle w:val="SubtleEmphasis"/>
        </w:rPr>
        <w:t xml:space="preserve">and type </w:t>
      </w:r>
      <w:r w:rsidR="007E5778" w:rsidRPr="007E5778">
        <w:rPr>
          <w:rStyle w:val="SubtleEmphasis"/>
        </w:rPr>
        <w:t>of initial funding</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14:paraId="09AC6B59" w14:textId="77777777" w:rsidTr="00EC1625">
        <w:tc>
          <w:tcPr>
            <w:tcW w:w="9350" w:type="dxa"/>
            <w:shd w:val="clear" w:color="auto" w:fill="DEEAF6" w:themeFill="accent1" w:themeFillTint="33"/>
          </w:tcPr>
          <w:p w14:paraId="1EE9C80D" w14:textId="77777777" w:rsidR="00295A43" w:rsidRDefault="00295A43" w:rsidP="00EC1625"/>
        </w:tc>
      </w:tr>
    </w:tbl>
    <w:p w14:paraId="369EF9E4" w14:textId="77777777" w:rsidR="007E5778" w:rsidRDefault="007E5778" w:rsidP="007E6498">
      <w:pPr>
        <w:spacing w:after="0"/>
      </w:pPr>
    </w:p>
    <w:p w14:paraId="0BE58163" w14:textId="77777777" w:rsidR="00E63880" w:rsidRPr="007E5778" w:rsidRDefault="00214CA9" w:rsidP="007E5778">
      <w:pPr>
        <w:rPr>
          <w:rStyle w:val="SubtleEmphasis"/>
        </w:rPr>
      </w:pPr>
      <w:sdt>
        <w:sdtPr>
          <w:rPr>
            <w:i/>
            <w:iCs/>
            <w:color w:val="595959" w:themeColor="text1" w:themeTint="A6"/>
          </w:rPr>
          <w:id w:val="218570367"/>
          <w14:checkbox>
            <w14:checked w14:val="0"/>
            <w14:checkedState w14:val="2612" w14:font="MS Gothic"/>
            <w14:uncheckedState w14:val="2610" w14:font="MS Gothic"/>
          </w14:checkbox>
        </w:sdtPr>
        <w:sdtEndPr>
          <w:rPr>
            <w:i w:val="0"/>
            <w:iCs w:val="0"/>
            <w:color w:val="auto"/>
          </w:rPr>
        </w:sdtEndPr>
        <w:sdtContent>
          <w:r w:rsidR="007E5778">
            <w:rPr>
              <w:rFonts w:ascii="MS Gothic" w:eastAsia="MS Gothic" w:hAnsi="MS Gothic" w:hint="eastAsia"/>
            </w:rPr>
            <w:t>☐</w:t>
          </w:r>
        </w:sdtContent>
      </w:sdt>
      <w:r w:rsidR="007E5778">
        <w:tab/>
        <w:t>Multi-Year Funds</w:t>
      </w:r>
      <w:r w:rsidR="007E5778">
        <w:tab/>
      </w:r>
      <w:r w:rsidR="007E5778" w:rsidRPr="007E5778">
        <w:rPr>
          <w:rStyle w:val="SubtleEmphasis"/>
        </w:rPr>
        <w:t xml:space="preserve">Insert amount </w:t>
      </w:r>
      <w:r w:rsidR="00EE45F4">
        <w:rPr>
          <w:rStyle w:val="SubtleEmphasis"/>
        </w:rPr>
        <w:t xml:space="preserve">and type </w:t>
      </w:r>
      <w:r w:rsidR="007E5778" w:rsidRPr="007E5778">
        <w:rPr>
          <w:rStyle w:val="SubtleEmphasis"/>
        </w:rPr>
        <w:t>of initial funding</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14:paraId="13BDEDE0" w14:textId="77777777" w:rsidTr="00EC1625">
        <w:tc>
          <w:tcPr>
            <w:tcW w:w="9350" w:type="dxa"/>
            <w:shd w:val="clear" w:color="auto" w:fill="DEEAF6" w:themeFill="accent1" w:themeFillTint="33"/>
          </w:tcPr>
          <w:p w14:paraId="7EA17978" w14:textId="77777777" w:rsidR="00295A43" w:rsidRDefault="00295A43" w:rsidP="00EC1625"/>
        </w:tc>
      </w:tr>
    </w:tbl>
    <w:p w14:paraId="785B78D2" w14:textId="77777777" w:rsidR="002A1843" w:rsidRDefault="002A1843" w:rsidP="00BA2FF7">
      <w:pPr>
        <w:pStyle w:val="Heading1"/>
        <w:ind w:left="547" w:hanging="547"/>
      </w:pPr>
      <w:r w:rsidRPr="00F24E9E">
        <w:t>Funding</w:t>
      </w:r>
      <w:r>
        <w:t xml:space="preserve"> Profile</w:t>
      </w:r>
    </w:p>
    <w:p w14:paraId="6837174F" w14:textId="7AAC3AC7" w:rsidR="002A1843" w:rsidRPr="004E6716" w:rsidRDefault="002A1843" w:rsidP="002A1843">
      <w:pPr>
        <w:rPr>
          <w:rStyle w:val="SubtleEmphasis"/>
        </w:rPr>
      </w:pPr>
      <w:r>
        <w:rPr>
          <w:rStyle w:val="SubtleEmphasis"/>
        </w:rPr>
        <w:t xml:space="preserve">Insert Total Direct Cost for each year. (Does not include </w:t>
      </w:r>
      <w:r w:rsidR="00A51772">
        <w:rPr>
          <w:rStyle w:val="SubtleEmphasis"/>
        </w:rPr>
        <w:t>Customer Shared Direct Cost (</w:t>
      </w:r>
      <w:r>
        <w:rPr>
          <w:rStyle w:val="SubtleEmphasis"/>
        </w:rPr>
        <w:t>CSDC</w:t>
      </w:r>
      <w:r w:rsidR="00A51772">
        <w:rPr>
          <w:rStyle w:val="SubtleEmphasis"/>
        </w:rPr>
        <w:t>)</w:t>
      </w:r>
      <w:r>
        <w:rPr>
          <w:rStyle w:val="SubtleEmphasis"/>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A1843" w14:paraId="7647620D" w14:textId="77777777" w:rsidTr="00C94776">
        <w:tc>
          <w:tcPr>
            <w:tcW w:w="1558" w:type="dxa"/>
            <w:shd w:val="clear" w:color="auto" w:fill="F2F2F2" w:themeFill="background1" w:themeFillShade="F2"/>
          </w:tcPr>
          <w:p w14:paraId="248617D4" w14:textId="77777777" w:rsidR="002A1843" w:rsidRPr="00E63880" w:rsidRDefault="002A1843" w:rsidP="00C94776">
            <w:pPr>
              <w:jc w:val="center"/>
              <w:rPr>
                <w:b/>
              </w:rPr>
            </w:pPr>
            <w:r w:rsidRPr="00E63880">
              <w:rPr>
                <w:b/>
              </w:rPr>
              <w:t>Base</w:t>
            </w:r>
          </w:p>
        </w:tc>
        <w:tc>
          <w:tcPr>
            <w:tcW w:w="1558" w:type="dxa"/>
            <w:shd w:val="clear" w:color="auto" w:fill="F2F2F2" w:themeFill="background1" w:themeFillShade="F2"/>
          </w:tcPr>
          <w:p w14:paraId="474CE998" w14:textId="77777777" w:rsidR="002A1843" w:rsidRPr="00E63880" w:rsidRDefault="002A1843" w:rsidP="00C94776">
            <w:pPr>
              <w:jc w:val="center"/>
              <w:rPr>
                <w:b/>
              </w:rPr>
            </w:pPr>
            <w:r w:rsidRPr="00E63880">
              <w:rPr>
                <w:b/>
              </w:rPr>
              <w:t>Year 2</w:t>
            </w:r>
          </w:p>
        </w:tc>
        <w:tc>
          <w:tcPr>
            <w:tcW w:w="1558" w:type="dxa"/>
            <w:shd w:val="clear" w:color="auto" w:fill="F2F2F2" w:themeFill="background1" w:themeFillShade="F2"/>
          </w:tcPr>
          <w:p w14:paraId="6CAA544B" w14:textId="77777777" w:rsidR="002A1843" w:rsidRPr="00E63880" w:rsidRDefault="002A1843" w:rsidP="00C94776">
            <w:pPr>
              <w:jc w:val="center"/>
              <w:rPr>
                <w:b/>
              </w:rPr>
            </w:pPr>
            <w:r w:rsidRPr="00E63880">
              <w:rPr>
                <w:b/>
              </w:rPr>
              <w:t>Year 3</w:t>
            </w:r>
          </w:p>
        </w:tc>
        <w:tc>
          <w:tcPr>
            <w:tcW w:w="1558" w:type="dxa"/>
            <w:shd w:val="clear" w:color="auto" w:fill="F2F2F2" w:themeFill="background1" w:themeFillShade="F2"/>
          </w:tcPr>
          <w:p w14:paraId="5D70A68C" w14:textId="77777777" w:rsidR="002A1843" w:rsidRPr="00E63880" w:rsidRDefault="002A1843" w:rsidP="00C94776">
            <w:pPr>
              <w:jc w:val="center"/>
              <w:rPr>
                <w:b/>
              </w:rPr>
            </w:pPr>
            <w:r w:rsidRPr="00E63880">
              <w:rPr>
                <w:b/>
              </w:rPr>
              <w:t>Year 4</w:t>
            </w:r>
          </w:p>
        </w:tc>
        <w:tc>
          <w:tcPr>
            <w:tcW w:w="1559" w:type="dxa"/>
            <w:shd w:val="clear" w:color="auto" w:fill="F2F2F2" w:themeFill="background1" w:themeFillShade="F2"/>
          </w:tcPr>
          <w:p w14:paraId="45B238E1" w14:textId="77777777" w:rsidR="002A1843" w:rsidRPr="00E63880" w:rsidRDefault="002A1843" w:rsidP="00C94776">
            <w:pPr>
              <w:jc w:val="center"/>
              <w:rPr>
                <w:b/>
              </w:rPr>
            </w:pPr>
            <w:r w:rsidRPr="00E63880">
              <w:rPr>
                <w:b/>
              </w:rPr>
              <w:t>Year 5</w:t>
            </w:r>
          </w:p>
        </w:tc>
        <w:tc>
          <w:tcPr>
            <w:tcW w:w="1559" w:type="dxa"/>
            <w:shd w:val="clear" w:color="auto" w:fill="F2F2F2" w:themeFill="background1" w:themeFillShade="F2"/>
          </w:tcPr>
          <w:p w14:paraId="613CD86B" w14:textId="77777777" w:rsidR="002A1843" w:rsidRPr="00E63880" w:rsidRDefault="002A1843" w:rsidP="00C94776">
            <w:pPr>
              <w:jc w:val="center"/>
              <w:rPr>
                <w:b/>
              </w:rPr>
            </w:pPr>
            <w:r w:rsidRPr="00E63880">
              <w:rPr>
                <w:b/>
              </w:rPr>
              <w:t>Total</w:t>
            </w:r>
          </w:p>
        </w:tc>
      </w:tr>
      <w:tr w:rsidR="002A1843" w14:paraId="3E0F64B1" w14:textId="77777777" w:rsidTr="00C94776">
        <w:trPr>
          <w:trHeight w:val="422"/>
        </w:trPr>
        <w:tc>
          <w:tcPr>
            <w:tcW w:w="1558" w:type="dxa"/>
            <w:shd w:val="clear" w:color="auto" w:fill="DEEAF6" w:themeFill="accent1" w:themeFillTint="33"/>
          </w:tcPr>
          <w:p w14:paraId="2B897D1E" w14:textId="77777777" w:rsidR="002A1843" w:rsidRDefault="002A1843" w:rsidP="00C94776"/>
        </w:tc>
        <w:tc>
          <w:tcPr>
            <w:tcW w:w="1558" w:type="dxa"/>
            <w:shd w:val="clear" w:color="auto" w:fill="DEEAF6" w:themeFill="accent1" w:themeFillTint="33"/>
          </w:tcPr>
          <w:p w14:paraId="5491AD0E" w14:textId="77777777" w:rsidR="002A1843" w:rsidRDefault="002A1843" w:rsidP="00C94776"/>
        </w:tc>
        <w:tc>
          <w:tcPr>
            <w:tcW w:w="1558" w:type="dxa"/>
            <w:shd w:val="clear" w:color="auto" w:fill="DEEAF6" w:themeFill="accent1" w:themeFillTint="33"/>
          </w:tcPr>
          <w:p w14:paraId="73A8E506" w14:textId="77777777" w:rsidR="002A1843" w:rsidRDefault="002A1843" w:rsidP="00C94776"/>
        </w:tc>
        <w:tc>
          <w:tcPr>
            <w:tcW w:w="1558" w:type="dxa"/>
            <w:shd w:val="clear" w:color="auto" w:fill="DEEAF6" w:themeFill="accent1" w:themeFillTint="33"/>
          </w:tcPr>
          <w:p w14:paraId="31670972" w14:textId="77777777" w:rsidR="002A1843" w:rsidRDefault="002A1843" w:rsidP="00C94776"/>
        </w:tc>
        <w:tc>
          <w:tcPr>
            <w:tcW w:w="1559" w:type="dxa"/>
            <w:shd w:val="clear" w:color="auto" w:fill="DEEAF6" w:themeFill="accent1" w:themeFillTint="33"/>
          </w:tcPr>
          <w:p w14:paraId="58E23467" w14:textId="77777777" w:rsidR="002A1843" w:rsidRDefault="002A1843" w:rsidP="00C94776"/>
        </w:tc>
        <w:tc>
          <w:tcPr>
            <w:tcW w:w="1559" w:type="dxa"/>
            <w:shd w:val="clear" w:color="auto" w:fill="DEEAF6" w:themeFill="accent1" w:themeFillTint="33"/>
          </w:tcPr>
          <w:p w14:paraId="79013306" w14:textId="77777777" w:rsidR="002A1843" w:rsidRDefault="002A1843" w:rsidP="00C94776"/>
        </w:tc>
      </w:tr>
    </w:tbl>
    <w:p w14:paraId="6F96A959" w14:textId="572E98EC" w:rsidR="002A1843" w:rsidRDefault="002A1843" w:rsidP="00BA2FF7">
      <w:pPr>
        <w:pStyle w:val="Heading1"/>
        <w:ind w:left="547" w:hanging="547"/>
      </w:pPr>
      <w:r w:rsidRPr="00F24E9E">
        <w:t>Full</w:t>
      </w:r>
      <w:r>
        <w:t xml:space="preserve"> Time Equivalents</w:t>
      </w:r>
      <w:r w:rsidR="00A51772">
        <w:t xml:space="preserve"> (FTE)</w:t>
      </w:r>
      <w:r>
        <w:t xml:space="preserve"> ESTIMATE</w:t>
      </w:r>
    </w:p>
    <w:p w14:paraId="01EBAD61" w14:textId="77777777" w:rsidR="002A1843" w:rsidRPr="00926E90" w:rsidRDefault="002A1843" w:rsidP="002A1843">
      <w:pPr>
        <w:rPr>
          <w:rStyle w:val="SubtleEmphasis"/>
        </w:rPr>
      </w:pPr>
      <w:r w:rsidRPr="00926E90">
        <w:rPr>
          <w:rStyle w:val="SubtleEmphasis"/>
        </w:rPr>
        <w:t>Insert number of FTEs per year.</w:t>
      </w:r>
    </w:p>
    <w:tbl>
      <w:tblPr>
        <w:tblStyle w:val="TableGrid"/>
        <w:tblW w:w="5000" w:type="pct"/>
        <w:tblLook w:val="04A0" w:firstRow="1" w:lastRow="0" w:firstColumn="1" w:lastColumn="0" w:noHBand="0" w:noVBand="1"/>
      </w:tblPr>
      <w:tblGrid>
        <w:gridCol w:w="1870"/>
        <w:gridCol w:w="1870"/>
        <w:gridCol w:w="1870"/>
        <w:gridCol w:w="1870"/>
        <w:gridCol w:w="1870"/>
      </w:tblGrid>
      <w:tr w:rsidR="00495D8C" w14:paraId="3909D88B" w14:textId="77777777" w:rsidTr="00495D8C">
        <w:tc>
          <w:tcPr>
            <w:tcW w:w="1000" w:type="pct"/>
            <w:shd w:val="clear" w:color="auto" w:fill="F2F2F2" w:themeFill="background1" w:themeFillShade="F2"/>
          </w:tcPr>
          <w:p w14:paraId="63C6858B" w14:textId="77777777" w:rsidR="00495D8C" w:rsidRPr="00E63880" w:rsidRDefault="00495D8C" w:rsidP="00C94776">
            <w:pPr>
              <w:jc w:val="center"/>
              <w:rPr>
                <w:b/>
              </w:rPr>
            </w:pPr>
            <w:r w:rsidRPr="00E63880">
              <w:rPr>
                <w:b/>
              </w:rPr>
              <w:t>Base</w:t>
            </w:r>
          </w:p>
        </w:tc>
        <w:tc>
          <w:tcPr>
            <w:tcW w:w="1000" w:type="pct"/>
            <w:shd w:val="clear" w:color="auto" w:fill="F2F2F2" w:themeFill="background1" w:themeFillShade="F2"/>
          </w:tcPr>
          <w:p w14:paraId="51FE0D45" w14:textId="77777777" w:rsidR="00495D8C" w:rsidRPr="00E63880" w:rsidRDefault="00495D8C" w:rsidP="00C94776">
            <w:pPr>
              <w:jc w:val="center"/>
              <w:rPr>
                <w:b/>
              </w:rPr>
            </w:pPr>
            <w:r w:rsidRPr="00E63880">
              <w:rPr>
                <w:b/>
              </w:rPr>
              <w:t>Year 2</w:t>
            </w:r>
          </w:p>
        </w:tc>
        <w:tc>
          <w:tcPr>
            <w:tcW w:w="1000" w:type="pct"/>
            <w:shd w:val="clear" w:color="auto" w:fill="F2F2F2" w:themeFill="background1" w:themeFillShade="F2"/>
          </w:tcPr>
          <w:p w14:paraId="1A4FFFDD" w14:textId="77777777" w:rsidR="00495D8C" w:rsidRPr="00E63880" w:rsidRDefault="00495D8C" w:rsidP="00C94776">
            <w:pPr>
              <w:jc w:val="center"/>
              <w:rPr>
                <w:b/>
              </w:rPr>
            </w:pPr>
            <w:r w:rsidRPr="00E63880">
              <w:rPr>
                <w:b/>
              </w:rPr>
              <w:t>Year 3</w:t>
            </w:r>
          </w:p>
        </w:tc>
        <w:tc>
          <w:tcPr>
            <w:tcW w:w="1000" w:type="pct"/>
            <w:shd w:val="clear" w:color="auto" w:fill="F2F2F2" w:themeFill="background1" w:themeFillShade="F2"/>
          </w:tcPr>
          <w:p w14:paraId="0A177510" w14:textId="77777777" w:rsidR="00495D8C" w:rsidRPr="00E63880" w:rsidRDefault="00495D8C" w:rsidP="00C94776">
            <w:pPr>
              <w:jc w:val="center"/>
              <w:rPr>
                <w:b/>
              </w:rPr>
            </w:pPr>
            <w:r w:rsidRPr="00E63880">
              <w:rPr>
                <w:b/>
              </w:rPr>
              <w:t>Year 4</w:t>
            </w:r>
          </w:p>
        </w:tc>
        <w:tc>
          <w:tcPr>
            <w:tcW w:w="1000" w:type="pct"/>
            <w:shd w:val="clear" w:color="auto" w:fill="F2F2F2" w:themeFill="background1" w:themeFillShade="F2"/>
          </w:tcPr>
          <w:p w14:paraId="40F2ADFF" w14:textId="77777777" w:rsidR="00495D8C" w:rsidRPr="00E63880" w:rsidRDefault="00495D8C" w:rsidP="00C94776">
            <w:pPr>
              <w:jc w:val="center"/>
              <w:rPr>
                <w:b/>
              </w:rPr>
            </w:pPr>
            <w:r w:rsidRPr="00E63880">
              <w:rPr>
                <w:b/>
              </w:rPr>
              <w:t>Year 5</w:t>
            </w:r>
          </w:p>
        </w:tc>
      </w:tr>
      <w:tr w:rsidR="00495D8C" w14:paraId="27913220" w14:textId="77777777" w:rsidTr="00495D8C">
        <w:trPr>
          <w:trHeight w:val="422"/>
        </w:trPr>
        <w:tc>
          <w:tcPr>
            <w:tcW w:w="1000" w:type="pct"/>
            <w:shd w:val="clear" w:color="auto" w:fill="DEEAF6" w:themeFill="accent1" w:themeFillTint="33"/>
          </w:tcPr>
          <w:p w14:paraId="49C51C38" w14:textId="77777777" w:rsidR="00495D8C" w:rsidRDefault="00495D8C" w:rsidP="00C94776"/>
        </w:tc>
        <w:tc>
          <w:tcPr>
            <w:tcW w:w="1000" w:type="pct"/>
            <w:shd w:val="clear" w:color="auto" w:fill="DEEAF6" w:themeFill="accent1" w:themeFillTint="33"/>
          </w:tcPr>
          <w:p w14:paraId="29D87460" w14:textId="77777777" w:rsidR="00495D8C" w:rsidRDefault="00495D8C" w:rsidP="00C94776"/>
        </w:tc>
        <w:tc>
          <w:tcPr>
            <w:tcW w:w="1000" w:type="pct"/>
            <w:shd w:val="clear" w:color="auto" w:fill="DEEAF6" w:themeFill="accent1" w:themeFillTint="33"/>
          </w:tcPr>
          <w:p w14:paraId="6FF54D28" w14:textId="77777777" w:rsidR="00495D8C" w:rsidRDefault="00495D8C" w:rsidP="00C94776"/>
        </w:tc>
        <w:tc>
          <w:tcPr>
            <w:tcW w:w="1000" w:type="pct"/>
            <w:shd w:val="clear" w:color="auto" w:fill="DEEAF6" w:themeFill="accent1" w:themeFillTint="33"/>
          </w:tcPr>
          <w:p w14:paraId="309DDFE8" w14:textId="77777777" w:rsidR="00495D8C" w:rsidRDefault="00495D8C" w:rsidP="00C94776"/>
        </w:tc>
        <w:tc>
          <w:tcPr>
            <w:tcW w:w="1000" w:type="pct"/>
            <w:shd w:val="clear" w:color="auto" w:fill="DEEAF6" w:themeFill="accent1" w:themeFillTint="33"/>
          </w:tcPr>
          <w:p w14:paraId="33A3A22C" w14:textId="77777777" w:rsidR="00495D8C" w:rsidRDefault="00495D8C" w:rsidP="00C94776"/>
        </w:tc>
      </w:tr>
    </w:tbl>
    <w:p w14:paraId="617224EC" w14:textId="77777777" w:rsidR="0000523A" w:rsidRDefault="0000523A" w:rsidP="00BA2FF7">
      <w:pPr>
        <w:pStyle w:val="Heading1"/>
        <w:ind w:left="547" w:hanging="547"/>
      </w:pPr>
      <w:r w:rsidRPr="00F24E9E">
        <w:t>Place</w:t>
      </w:r>
      <w:r>
        <w:t xml:space="preserve"> of Performance</w:t>
      </w:r>
    </w:p>
    <w:p w14:paraId="72FF6413" w14:textId="77777777" w:rsidR="00C55785" w:rsidRPr="00926E90" w:rsidRDefault="00C55785" w:rsidP="00C55785">
      <w:pPr>
        <w:rPr>
          <w:rStyle w:val="SubtleEmphasis"/>
        </w:rPr>
      </w:pPr>
      <w:r w:rsidRPr="00926E90">
        <w:rPr>
          <w:rStyle w:val="SubtleEmphasis"/>
        </w:rPr>
        <w:t>(Insert estimated percentage of FTEs for each applicable location.)</w:t>
      </w:r>
    </w:p>
    <w:p w14:paraId="4AAF1940" w14:textId="77777777" w:rsidR="00C55785" w:rsidRPr="00A41D46" w:rsidRDefault="00214CA9" w:rsidP="00C55785">
      <w:pPr>
        <w:rPr>
          <w:b/>
        </w:rPr>
      </w:pPr>
      <w:sdt>
        <w:sdtPr>
          <w:id w:val="1535388106"/>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r>
      <w:r w:rsidR="00C55785" w:rsidRPr="00A41D46">
        <w:rPr>
          <w:b/>
        </w:rPr>
        <w:t>Contractor location</w:t>
      </w:r>
      <w:r w:rsidR="00000D2B">
        <w:rPr>
          <w:b/>
        </w:rPr>
        <w:t>(s)</w:t>
      </w:r>
    </w:p>
    <w:p w14:paraId="3A6878E7" w14:textId="77777777" w:rsidR="003A2DF6" w:rsidRDefault="00214CA9" w:rsidP="00C55785">
      <w:pPr>
        <w:ind w:firstLine="720"/>
      </w:pPr>
      <w:sdt>
        <w:sdtPr>
          <w:id w:val="1059679141"/>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t xml:space="preserve">CONUS FTEs: </w:t>
      </w:r>
      <w:r w:rsidR="003243D9" w:rsidRPr="003243D9">
        <w:rPr>
          <w:i/>
        </w:rPr>
        <w:t>% FTE</w:t>
      </w:r>
      <w:r w:rsidR="00C55785">
        <w:t xml:space="preserve"> </w:t>
      </w:r>
      <w:r w:rsidR="003243D9">
        <w:tab/>
      </w:r>
      <w:r w:rsidR="003243D9">
        <w:tab/>
      </w:r>
      <w:r w:rsidR="003243D9">
        <w:tab/>
      </w:r>
      <w:sdt>
        <w:sdtPr>
          <w:id w:val="473963310"/>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 xml:space="preserve">OCONUS FTEs:  </w:t>
      </w:r>
      <w:r w:rsidR="003243D9" w:rsidRPr="003243D9">
        <w:rPr>
          <w:i/>
        </w:rPr>
        <w:t>% FTE</w:t>
      </w:r>
      <w:r w:rsidR="003243D9">
        <w:t xml:space="preserve"> </w:t>
      </w:r>
      <w:r w:rsidR="003243D9">
        <w:tab/>
      </w:r>
    </w:p>
    <w:p w14:paraId="54F308CA" w14:textId="77777777" w:rsidR="00C55785" w:rsidRDefault="00C55785" w:rsidP="00C55785">
      <w:r>
        <w:t xml:space="preserve">Contractor location limitations:  </w:t>
      </w:r>
    </w:p>
    <w:p w14:paraId="0AA5032E" w14:textId="77777777" w:rsidR="00C55785" w:rsidRPr="00926E90" w:rsidRDefault="00C55785" w:rsidP="00C55785">
      <w:pPr>
        <w:rPr>
          <w:rStyle w:val="SubtleEmphasis"/>
        </w:rPr>
      </w:pPr>
      <w:r w:rsidRPr="00926E90">
        <w:rPr>
          <w:rStyle w:val="SubtleEmphasis"/>
        </w:rPr>
        <w:t>Specify any contractor location limitations.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14:paraId="4568F788" w14:textId="77777777" w:rsidTr="00EC1625">
        <w:tc>
          <w:tcPr>
            <w:tcW w:w="9350" w:type="dxa"/>
            <w:shd w:val="clear" w:color="auto" w:fill="DEEAF6" w:themeFill="accent1" w:themeFillTint="33"/>
          </w:tcPr>
          <w:p w14:paraId="7777AE5C" w14:textId="77777777" w:rsidR="003A2DF6" w:rsidRDefault="003A2DF6" w:rsidP="00EC1625"/>
        </w:tc>
      </w:tr>
    </w:tbl>
    <w:p w14:paraId="66ECFCD6" w14:textId="77777777" w:rsidR="00C55785" w:rsidRPr="00A41D46" w:rsidRDefault="003243D9" w:rsidP="00C55785">
      <w:pPr>
        <w:rPr>
          <w:b/>
        </w:rPr>
      </w:pPr>
      <w:r>
        <w:br/>
      </w:r>
      <w:sdt>
        <w:sdtPr>
          <w:id w:val="-614903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5785">
        <w:tab/>
      </w:r>
      <w:r w:rsidR="00C55785" w:rsidRPr="00A41D46">
        <w:rPr>
          <w:b/>
        </w:rPr>
        <w:t>Government location</w:t>
      </w:r>
      <w:r w:rsidR="00000D2B">
        <w:rPr>
          <w:b/>
        </w:rPr>
        <w:t>(s)</w:t>
      </w:r>
    </w:p>
    <w:p w14:paraId="2CAC952E" w14:textId="77777777" w:rsidR="003A2DF6" w:rsidRDefault="00214CA9" w:rsidP="003243D9">
      <w:pPr>
        <w:ind w:firstLine="720"/>
      </w:pPr>
      <w:sdt>
        <w:sdtPr>
          <w:id w:val="1083568620"/>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t xml:space="preserve">CONUS FTEs:  </w:t>
      </w:r>
      <w:r w:rsidR="003243D9" w:rsidRPr="003243D9">
        <w:rPr>
          <w:i/>
        </w:rPr>
        <w:t>% FTE</w:t>
      </w:r>
      <w:r w:rsidR="003243D9">
        <w:tab/>
      </w:r>
      <w:r w:rsidR="003243D9">
        <w:tab/>
      </w:r>
      <w:r w:rsidR="003243D9">
        <w:tab/>
      </w:r>
      <w:sdt>
        <w:sdtPr>
          <w:id w:val="329191889"/>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 xml:space="preserve">OCONUS FTEs:  </w:t>
      </w:r>
      <w:r w:rsidR="003243D9" w:rsidRPr="003243D9">
        <w:rPr>
          <w:i/>
        </w:rPr>
        <w:t>% FTE</w:t>
      </w:r>
    </w:p>
    <w:p w14:paraId="73E3CDB7" w14:textId="77777777" w:rsidR="00C55785" w:rsidRDefault="00C55785" w:rsidP="00C55785">
      <w:r>
        <w:t>Government address/addresses: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14:paraId="1586B99B" w14:textId="77777777" w:rsidTr="00EC1625">
        <w:tc>
          <w:tcPr>
            <w:tcW w:w="9350" w:type="dxa"/>
            <w:shd w:val="clear" w:color="auto" w:fill="DEEAF6" w:themeFill="accent1" w:themeFillTint="33"/>
          </w:tcPr>
          <w:p w14:paraId="0557D4AE" w14:textId="77777777" w:rsidR="003A2DF6" w:rsidRDefault="003A2DF6" w:rsidP="00EC1625"/>
        </w:tc>
      </w:tr>
    </w:tbl>
    <w:p w14:paraId="6C8B3118" w14:textId="77777777" w:rsidR="00C55785" w:rsidRDefault="003243D9" w:rsidP="00C55785">
      <w:r>
        <w:br/>
      </w:r>
      <w:r w:rsidR="00C55785">
        <w:t>Government location</w:t>
      </w:r>
      <w:r w:rsidR="00000D2B">
        <w:t>(s)</w:t>
      </w:r>
      <w:r w:rsidR="00C55785">
        <w:t xml:space="preserve"> limitations:  </w:t>
      </w:r>
    </w:p>
    <w:p w14:paraId="32E751FE" w14:textId="77777777" w:rsidR="00C55785" w:rsidRPr="00926E90" w:rsidRDefault="00C55785" w:rsidP="00C55785">
      <w:r w:rsidRPr="00926E90">
        <w:rPr>
          <w:rStyle w:val="SubtleEmphasis"/>
        </w:rPr>
        <w:t>Specify any Government location limitations, e.g. “Government location only has room for two contractors on base.”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743F03" w14:paraId="35AFA820" w14:textId="77777777" w:rsidTr="00EC1625">
        <w:tc>
          <w:tcPr>
            <w:tcW w:w="9350" w:type="dxa"/>
            <w:shd w:val="clear" w:color="auto" w:fill="DEEAF6" w:themeFill="accent1" w:themeFillTint="33"/>
          </w:tcPr>
          <w:p w14:paraId="6F4142E1" w14:textId="77777777" w:rsidR="00743F03" w:rsidRDefault="00743F03" w:rsidP="00EC1625"/>
        </w:tc>
      </w:tr>
    </w:tbl>
    <w:p w14:paraId="2ED1AD2A" w14:textId="77777777" w:rsidR="0000523A" w:rsidRDefault="0000523A" w:rsidP="00BA2FF7">
      <w:pPr>
        <w:pStyle w:val="Heading1"/>
        <w:ind w:left="547" w:hanging="547"/>
      </w:pPr>
      <w:r w:rsidRPr="00F24E9E">
        <w:t>base</w:t>
      </w:r>
      <w:r>
        <w:t xml:space="preserve"> support </w:t>
      </w:r>
    </w:p>
    <w:p w14:paraId="3CED006C" w14:textId="77777777" w:rsidR="000D4E34" w:rsidRPr="002311F0" w:rsidRDefault="000D4E34" w:rsidP="000D4E34">
      <w:pPr>
        <w:pStyle w:val="BodyText"/>
        <w:rPr>
          <w:sz w:val="22"/>
          <w:szCs w:val="22"/>
        </w:rPr>
      </w:pPr>
      <w:r w:rsidRPr="002311F0">
        <w:rPr>
          <w:sz w:val="22"/>
          <w:szCs w:val="22"/>
        </w:rPr>
        <w:t>Government will provide access to property, facilities, work space, etc.</w:t>
      </w:r>
    </w:p>
    <w:p w14:paraId="6B35F2BE" w14:textId="77777777" w:rsidR="000D4E34" w:rsidRPr="002311F0" w:rsidRDefault="00214CA9" w:rsidP="000D4E34">
      <w:pPr>
        <w:rPr>
          <w:rFonts w:cs="Times New Roman"/>
        </w:rPr>
      </w:pPr>
      <w:sdt>
        <w:sdtPr>
          <w:rPr>
            <w:rFonts w:cs="Times New Roman"/>
          </w:rPr>
          <w:id w:val="-1723748184"/>
          <w14:checkbox>
            <w14:checked w14:val="0"/>
            <w14:checkedState w14:val="2612" w14:font="MS Gothic"/>
            <w14:uncheckedState w14:val="2610" w14:font="MS Gothic"/>
          </w14:checkbox>
        </w:sdtPr>
        <w:sdtEndPr/>
        <w:sdtContent>
          <w:r w:rsidR="000D4E34" w:rsidRPr="002311F0">
            <w:rPr>
              <w:rFonts w:ascii="Segoe UI Symbol" w:eastAsia="MS Gothic" w:hAnsi="Segoe UI Symbol" w:cs="Segoe UI Symbol"/>
            </w:rPr>
            <w:t>☐</w:t>
          </w:r>
        </w:sdtContent>
      </w:sdt>
      <w:r w:rsidR="000D4E34" w:rsidRPr="002311F0">
        <w:rPr>
          <w:rFonts w:cs="Times New Roman"/>
        </w:rPr>
        <w:tab/>
        <w:t>No</w:t>
      </w:r>
    </w:p>
    <w:p w14:paraId="0FAE561E" w14:textId="1591CC9E" w:rsidR="00C0316F" w:rsidRPr="008602F9" w:rsidRDefault="00214CA9" w:rsidP="00926E90">
      <w:pPr>
        <w:pStyle w:val="BodyText"/>
      </w:pPr>
      <w:sdt>
        <w:sdtPr>
          <w:id w:val="2066669994"/>
          <w14:checkbox>
            <w14:checked w14:val="0"/>
            <w14:checkedState w14:val="2612" w14:font="MS Gothic"/>
            <w14:uncheckedState w14:val="2610" w14:font="MS Gothic"/>
          </w14:checkbox>
        </w:sdtPr>
        <w:sdtEndPr/>
        <w:sdtContent>
          <w:r w:rsidR="000D4E34" w:rsidRPr="002311F0">
            <w:rPr>
              <w:rFonts w:ascii="Segoe UI Symbol" w:eastAsia="MS Gothic" w:hAnsi="Segoe UI Symbol" w:cs="Segoe UI Symbol"/>
              <w:sz w:val="22"/>
              <w:szCs w:val="22"/>
            </w:rPr>
            <w:t>☐</w:t>
          </w:r>
        </w:sdtContent>
      </w:sdt>
      <w:r w:rsidR="000D4E34" w:rsidRPr="002311F0">
        <w:rPr>
          <w:sz w:val="22"/>
          <w:szCs w:val="22"/>
        </w:rPr>
        <w:tab/>
        <w:t xml:space="preserve">Yes, the </w:t>
      </w:r>
      <w:r w:rsidR="00361663" w:rsidRPr="002311F0">
        <w:rPr>
          <w:sz w:val="22"/>
          <w:szCs w:val="22"/>
        </w:rPr>
        <w:t>Government will provide the contractor access to facilities, office space, workstations, telephones, computers</w:t>
      </w:r>
      <w:r w:rsidR="00C94776">
        <w:rPr>
          <w:sz w:val="22"/>
          <w:szCs w:val="22"/>
        </w:rPr>
        <w:t xml:space="preserve">, </w:t>
      </w:r>
      <w:r w:rsidR="00361663" w:rsidRPr="002311F0">
        <w:rPr>
          <w:sz w:val="22"/>
          <w:szCs w:val="22"/>
        </w:rPr>
        <w:t xml:space="preserve">laptops, office supplies, equipment, etc.  </w:t>
      </w:r>
      <w:r w:rsidR="00361663">
        <w:rPr>
          <w:sz w:val="22"/>
          <w:szCs w:val="22"/>
        </w:rPr>
        <w:t>P</w:t>
      </w:r>
      <w:r w:rsidR="000D4E34" w:rsidRPr="002311F0">
        <w:rPr>
          <w:sz w:val="22"/>
          <w:szCs w:val="22"/>
        </w:rPr>
        <w:t xml:space="preserve">roper local agency procedures have been followed to ensure contractors will have access to Government property </w:t>
      </w:r>
      <w:r w:rsidR="00361663">
        <w:rPr>
          <w:sz w:val="22"/>
          <w:szCs w:val="22"/>
        </w:rPr>
        <w:t xml:space="preserve">at </w:t>
      </w:r>
      <w:r w:rsidR="00361663" w:rsidRPr="002311F0">
        <w:rPr>
          <w:sz w:val="22"/>
          <w:szCs w:val="22"/>
        </w:rPr>
        <w:t>each Government location specified above</w:t>
      </w:r>
      <w:r w:rsidR="00361663">
        <w:rPr>
          <w:sz w:val="22"/>
          <w:szCs w:val="22"/>
        </w:rPr>
        <w:t>.</w:t>
      </w:r>
      <w:r w:rsidR="00361663" w:rsidRPr="002311F0">
        <w:rPr>
          <w:sz w:val="22"/>
          <w:szCs w:val="22"/>
        </w:rPr>
        <w:t xml:space="preserve"> </w:t>
      </w:r>
      <w:r w:rsidR="00361663">
        <w:rPr>
          <w:sz w:val="22"/>
          <w:szCs w:val="22"/>
        </w:rPr>
        <w:t xml:space="preserve">The </w:t>
      </w:r>
      <w:r w:rsidR="000D4E34" w:rsidRPr="002311F0">
        <w:rPr>
          <w:sz w:val="22"/>
          <w:szCs w:val="22"/>
        </w:rPr>
        <w:t xml:space="preserve">Base Support details </w:t>
      </w:r>
      <w:r w:rsidR="00361663">
        <w:rPr>
          <w:sz w:val="22"/>
          <w:szCs w:val="22"/>
        </w:rPr>
        <w:t xml:space="preserve">that will be provided to the contractor at each location are </w:t>
      </w:r>
      <w:r w:rsidR="000D4E34" w:rsidRPr="002311F0">
        <w:rPr>
          <w:sz w:val="22"/>
          <w:szCs w:val="22"/>
        </w:rPr>
        <w:t>provided below.</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EC174C" w14:paraId="76EC70CC" w14:textId="77777777" w:rsidTr="00EC1625">
        <w:tc>
          <w:tcPr>
            <w:tcW w:w="9350" w:type="dxa"/>
            <w:shd w:val="clear" w:color="auto" w:fill="DEEAF6" w:themeFill="accent1" w:themeFillTint="33"/>
          </w:tcPr>
          <w:p w14:paraId="2E2A7060" w14:textId="77777777" w:rsidR="007652DC" w:rsidRPr="00E70C4D" w:rsidRDefault="007652DC" w:rsidP="00EC174C">
            <w:pPr>
              <w:spacing w:after="160" w:line="259" w:lineRule="auto"/>
            </w:pPr>
            <w:r>
              <w:t>Complete this section for each Government Location</w:t>
            </w:r>
            <w:r w:rsidR="00DE2177">
              <w:t>:</w:t>
            </w:r>
            <w:r>
              <w:t xml:space="preserve"> </w:t>
            </w:r>
            <w:r w:rsidR="00DE2177" w:rsidRPr="00926E90">
              <w:rPr>
                <w:rStyle w:val="SubtleEmphasis"/>
              </w:rPr>
              <w:t>(Location(s) need to match those specified in the PWS)</w:t>
            </w:r>
          </w:p>
          <w:p w14:paraId="2D25E48C" w14:textId="77777777" w:rsidR="00EC174C" w:rsidRDefault="00EC174C" w:rsidP="00EC174C">
            <w:pPr>
              <w:spacing w:after="160" w:line="259" w:lineRule="auto"/>
            </w:pPr>
            <w:r>
              <w:t xml:space="preserve">Location:  </w:t>
            </w:r>
          </w:p>
          <w:p w14:paraId="21BDA840" w14:textId="77777777" w:rsidR="00EB22B2" w:rsidRDefault="00214CA9" w:rsidP="00EB22B2">
            <w:sdt>
              <w:sdtPr>
                <w:id w:val="414984853"/>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670CF">
              <w:t xml:space="preserve"> Number of people</w:t>
            </w:r>
            <w:r w:rsidR="00EB22B2">
              <w:t xml:space="preserve"> ______</w:t>
            </w:r>
          </w:p>
          <w:p w14:paraId="03EC6D7B" w14:textId="77777777" w:rsidR="00E670CF" w:rsidRDefault="00214CA9" w:rsidP="00E670CF">
            <w:sdt>
              <w:sdtPr>
                <w:id w:val="-411934015"/>
                <w14:checkbox>
                  <w14:checked w14:val="0"/>
                  <w14:checkedState w14:val="2612" w14:font="MS Gothic"/>
                  <w14:uncheckedState w14:val="2610" w14:font="MS Gothic"/>
                </w14:checkbox>
              </w:sdtPr>
              <w:sdtEndPr/>
              <w:sdtContent>
                <w:r w:rsidR="00E670CF">
                  <w:rPr>
                    <w:rFonts w:ascii="MS Gothic" w:eastAsia="MS Gothic" w:hAnsi="MS Gothic" w:hint="eastAsia"/>
                  </w:rPr>
                  <w:t>☐</w:t>
                </w:r>
              </w:sdtContent>
            </w:sdt>
            <w:r w:rsidR="00E670CF">
              <w:t xml:space="preserve"> Number of workstations ______</w:t>
            </w:r>
          </w:p>
          <w:p w14:paraId="2030AD13" w14:textId="77777777" w:rsidR="00EB22B2" w:rsidRDefault="00214CA9" w:rsidP="00EB22B2">
            <w:sdt>
              <w:sdtPr>
                <w:id w:val="594908790"/>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B22B2">
              <w:t xml:space="preserve"> Number of telephones ______</w:t>
            </w:r>
          </w:p>
          <w:p w14:paraId="066C7DE2" w14:textId="77777777" w:rsidR="00EB22B2" w:rsidRDefault="00214CA9" w:rsidP="00EB22B2">
            <w:sdt>
              <w:sdtPr>
                <w:id w:val="1851441545"/>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7652DC">
              <w:t xml:space="preserve"> Number of computers/laptops</w:t>
            </w:r>
            <w:r w:rsidR="00EB22B2">
              <w:t xml:space="preserve"> ______</w:t>
            </w:r>
          </w:p>
          <w:p w14:paraId="0B2601A0" w14:textId="77777777" w:rsidR="00EB22B2" w:rsidRDefault="00214CA9" w:rsidP="00EB22B2">
            <w:sdt>
              <w:sdtPr>
                <w:id w:val="932473986"/>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B22B2">
              <w:t xml:space="preserve"> </w:t>
            </w:r>
            <w:r w:rsidR="007652DC">
              <w:t>Other access items</w:t>
            </w:r>
            <w:r w:rsidR="00BA2FF7">
              <w:t xml:space="preserve"> include</w:t>
            </w:r>
            <w:r w:rsidR="007652DC">
              <w:t xml:space="preserve"> (if applicable</w:t>
            </w:r>
            <w:r w:rsidR="00DE2177">
              <w:t>,</w:t>
            </w:r>
            <w:r w:rsidR="007652DC">
              <w:t xml:space="preserve"> describe</w:t>
            </w:r>
            <w:r w:rsidR="00DE2177">
              <w:t>)</w:t>
            </w:r>
            <w:r w:rsidR="007652DC">
              <w:t xml:space="preserve"> ______</w:t>
            </w:r>
            <w:r w:rsidR="00EB22B2">
              <w:t xml:space="preserve"> </w:t>
            </w:r>
          </w:p>
          <w:p w14:paraId="4C190548" w14:textId="77777777" w:rsidR="006F5DE1" w:rsidRDefault="006F5DE1" w:rsidP="00DE2177"/>
        </w:tc>
      </w:tr>
    </w:tbl>
    <w:p w14:paraId="67B0338C" w14:textId="77777777" w:rsidR="0000523A" w:rsidRPr="00581144" w:rsidRDefault="0000523A" w:rsidP="00BA2FF7">
      <w:pPr>
        <w:pStyle w:val="Heading1"/>
        <w:ind w:left="547" w:hanging="547"/>
      </w:pPr>
      <w:r w:rsidRPr="00581144">
        <w:t>Government Furnished Property</w:t>
      </w:r>
      <w:r w:rsidR="00EB5743" w:rsidRPr="00581144">
        <w:t xml:space="preserve"> (GFP)</w:t>
      </w:r>
    </w:p>
    <w:p w14:paraId="6DB6825C" w14:textId="02876CBE" w:rsidR="008C1B15" w:rsidRPr="00926E90" w:rsidRDefault="008C1B15" w:rsidP="008C1B15">
      <w:r w:rsidRPr="00926E90">
        <w:rPr>
          <w:rStyle w:val="SubtleEmphasis"/>
        </w:rPr>
        <w:t xml:space="preserve">Note:  GFP is defined as property in the possession of, or directly acquired by, the Government and subsequently furnished to the contractor for performance of a contract. </w:t>
      </w:r>
      <w:r w:rsidR="00C94776">
        <w:rPr>
          <w:rStyle w:val="SubtleEmphasis"/>
        </w:rPr>
        <w:t>GFP</w:t>
      </w:r>
      <w:r w:rsidRPr="00926E90">
        <w:rPr>
          <w:rStyle w:val="SubtleEmphasis"/>
        </w:rPr>
        <w:t xml:space="preserve"> includes, but is not limited to, spares and property furnished for repairs, maintenance, overhaul, or modification. </w:t>
      </w:r>
      <w:r w:rsidR="00C94776">
        <w:rPr>
          <w:rStyle w:val="SubtleEmphasis"/>
        </w:rPr>
        <w:t>GFP</w:t>
      </w:r>
      <w:r w:rsidRPr="00926E90">
        <w:rPr>
          <w:rStyle w:val="SubtleEmphasis"/>
        </w:rPr>
        <w:t xml:space="preserve"> also includes contractor acquired property if the contractor acquired property is a deliverable under a cost contract when accepted by the Government for continued use under the contract.” Reference: </w:t>
      </w:r>
      <w:r w:rsidR="00C94776">
        <w:rPr>
          <w:rStyle w:val="SubtleEmphasis"/>
        </w:rPr>
        <w:t>FAR</w:t>
      </w:r>
      <w:r w:rsidRPr="00926E90">
        <w:rPr>
          <w:rStyle w:val="SubtleEmphasis"/>
        </w:rPr>
        <w:t xml:space="preserve"> Part 45.101</w:t>
      </w:r>
      <w:r w:rsidRPr="00926E90">
        <w:t xml:space="preserve"> </w:t>
      </w:r>
      <w:r w:rsidRPr="00926E90">
        <w:rPr>
          <w:rStyle w:val="SubtleEmphasis"/>
        </w:rPr>
        <w:t>(</w:t>
      </w:r>
      <w:r w:rsidRPr="00A76885">
        <w:rPr>
          <w:i/>
        </w:rPr>
        <w:t>https://www.acquisition.gov/far/current/html/Subpart%2045_1.html</w:t>
      </w:r>
      <w:r w:rsidRPr="00926E90">
        <w:rPr>
          <w:rStyle w:val="SubtleEmphasis"/>
        </w:rPr>
        <w:t xml:space="preserve">). </w:t>
      </w:r>
    </w:p>
    <w:p w14:paraId="0DB3F0F8" w14:textId="77777777" w:rsidR="00612FA9" w:rsidRDefault="00214CA9" w:rsidP="00612FA9">
      <w:sdt>
        <w:sdtPr>
          <w:id w:val="1021670646"/>
          <w14:checkbox>
            <w14:checked w14:val="0"/>
            <w14:checkedState w14:val="2612" w14:font="MS Gothic"/>
            <w14:uncheckedState w14:val="2610" w14:font="MS Gothic"/>
          </w14:checkbox>
        </w:sdtPr>
        <w:sdtEndPr/>
        <w:sdtContent>
          <w:r w:rsidR="00C84C1F">
            <w:rPr>
              <w:rFonts w:ascii="MS Gothic" w:eastAsia="MS Gothic" w:hAnsi="MS Gothic" w:hint="eastAsia"/>
            </w:rPr>
            <w:t>☐</w:t>
          </w:r>
        </w:sdtContent>
      </w:sdt>
      <w:r w:rsidR="00C84C1F">
        <w:tab/>
      </w:r>
      <w:r w:rsidR="00581144">
        <w:t>No GFP will be provided or is required to begin performance.</w:t>
      </w:r>
    </w:p>
    <w:p w14:paraId="4B302326" w14:textId="77777777" w:rsidR="00612FA9" w:rsidRDefault="00214CA9" w:rsidP="008C1B15">
      <w:sdt>
        <w:sdtPr>
          <w:id w:val="-1105883468"/>
          <w14:checkbox>
            <w14:checked w14:val="0"/>
            <w14:checkedState w14:val="2612" w14:font="MS Gothic"/>
            <w14:uncheckedState w14:val="2610" w14:font="MS Gothic"/>
          </w14:checkbox>
        </w:sdtPr>
        <w:sdtEndPr/>
        <w:sdtContent>
          <w:r w:rsidR="008C1B15">
            <w:rPr>
              <w:rFonts w:ascii="MS Gothic" w:eastAsia="MS Gothic" w:hAnsi="MS Gothic" w:hint="eastAsia"/>
            </w:rPr>
            <w:t>☐</w:t>
          </w:r>
        </w:sdtContent>
      </w:sdt>
      <w:r w:rsidR="008C1B15">
        <w:tab/>
      </w:r>
      <w:r w:rsidR="00581144">
        <w:t xml:space="preserve">Yes, </w:t>
      </w:r>
      <w:r w:rsidR="00612FA9" w:rsidRPr="006A732F">
        <w:t>GFP will be provided to the contractor</w:t>
      </w:r>
      <w:r w:rsidR="00476096">
        <w:t xml:space="preserve"> to begin performance.</w:t>
      </w:r>
      <w:r w:rsidR="00612FA9" w:rsidRPr="006A732F">
        <w:t xml:space="preserve"> The GFP is currently available and its condition is suitable as is for its intended purpose.  The property is presently in the possession of</w:t>
      </w:r>
      <w:r w:rsidR="00581144">
        <w:t>:</w:t>
      </w:r>
      <w:r w:rsidR="00612FA9" w:rsidRPr="006A732F">
        <w:t xml:space="preserve"> </w:t>
      </w:r>
    </w:p>
    <w:p w14:paraId="10C14678" w14:textId="0E2A7843" w:rsidR="008C1B15" w:rsidRPr="00926E90" w:rsidRDefault="008C1B15" w:rsidP="008C1B15">
      <w:pPr>
        <w:rPr>
          <w:rStyle w:val="SubtleEmphasis"/>
        </w:rPr>
      </w:pPr>
      <w:r w:rsidRPr="00926E90">
        <w:rPr>
          <w:rStyle w:val="SubtleEmphasis"/>
        </w:rPr>
        <w:t xml:space="preserve">Insert </w:t>
      </w:r>
      <w:r w:rsidR="00581144">
        <w:rPr>
          <w:rStyle w:val="SubtleEmphasis"/>
        </w:rPr>
        <w:t xml:space="preserve">the </w:t>
      </w:r>
      <w:r w:rsidRPr="00926E90">
        <w:rPr>
          <w:rStyle w:val="SubtleEmphasis"/>
        </w:rPr>
        <w:t xml:space="preserve">applicable </w:t>
      </w:r>
      <w:r w:rsidR="00C94776">
        <w:rPr>
          <w:rStyle w:val="SubtleEmphasis"/>
        </w:rPr>
        <w:t>G</w:t>
      </w:r>
      <w:r w:rsidR="00581144">
        <w:rPr>
          <w:rStyle w:val="SubtleEmphasis"/>
        </w:rPr>
        <w:t xml:space="preserve">overnment </w:t>
      </w:r>
      <w:r w:rsidR="00C94776">
        <w:rPr>
          <w:rStyle w:val="SubtleEmphasis"/>
        </w:rPr>
        <w:t>Point of Contact (</w:t>
      </w:r>
      <w:r w:rsidRPr="00926E90">
        <w:rPr>
          <w:rStyle w:val="SubtleEmphasis"/>
        </w:rPr>
        <w:t>POC</w:t>
      </w:r>
      <w:r w:rsidR="00C94776">
        <w:rPr>
          <w:rStyle w:val="SubtleEmphasis"/>
        </w:rPr>
        <w:t>)</w:t>
      </w:r>
      <w:r w:rsidR="002311F0">
        <w:rPr>
          <w:rStyle w:val="SubtleEmphasis"/>
        </w:rPr>
        <w:t xml:space="preserve"> and</w:t>
      </w:r>
      <w:r w:rsidR="00C676F7">
        <w:rPr>
          <w:rStyle w:val="SubtleEmphasis"/>
        </w:rPr>
        <w:t xml:space="preserve"> </w:t>
      </w:r>
      <w:r w:rsidR="00581144">
        <w:rPr>
          <w:rStyle w:val="SubtleEmphasis"/>
        </w:rPr>
        <w:t>any accountable contract number(s) for the GFP</w:t>
      </w:r>
      <w:r w:rsidR="00C676F7" w:rsidRPr="00C676F7">
        <w:rPr>
          <w:rStyle w:val="SubtleEmphasis"/>
        </w:rPr>
        <w:t>.</w:t>
      </w:r>
      <w:r w:rsidR="002311F0">
        <w:rPr>
          <w:rStyle w:val="SubtleEmphasis"/>
        </w:rPr>
        <w:t xml:space="preserve"> </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14:paraId="15E7C9DA" w14:textId="77777777" w:rsidTr="00EC1625">
        <w:tc>
          <w:tcPr>
            <w:tcW w:w="9350" w:type="dxa"/>
            <w:shd w:val="clear" w:color="auto" w:fill="DEEAF6" w:themeFill="accent1" w:themeFillTint="33"/>
          </w:tcPr>
          <w:p w14:paraId="61B91F04" w14:textId="77777777" w:rsidR="003A2DF6" w:rsidRDefault="003A2DF6" w:rsidP="00EC1625"/>
        </w:tc>
      </w:tr>
    </w:tbl>
    <w:p w14:paraId="78376B29" w14:textId="77777777" w:rsidR="0000523A" w:rsidRDefault="0000523A" w:rsidP="00BA2FF7">
      <w:pPr>
        <w:pStyle w:val="Heading1"/>
        <w:ind w:left="547" w:hanging="547"/>
      </w:pPr>
      <w:r w:rsidRPr="00BA2FF7">
        <w:t>Government</w:t>
      </w:r>
      <w:r>
        <w:t xml:space="preserve"> Furnished Information</w:t>
      </w:r>
      <w:r w:rsidR="00354B11">
        <w:t xml:space="preserve"> (GFI)</w:t>
      </w:r>
    </w:p>
    <w:p w14:paraId="0117023A" w14:textId="0E54682D" w:rsidR="00354B11" w:rsidRPr="00926E90" w:rsidRDefault="00354B11" w:rsidP="00C40F2F">
      <w:pPr>
        <w:rPr>
          <w:rStyle w:val="SubtleEmphasis"/>
        </w:rPr>
      </w:pPr>
      <w:r w:rsidRPr="00926E90">
        <w:rPr>
          <w:rStyle w:val="SubtleEmphasis"/>
        </w:rPr>
        <w:t xml:space="preserve">Note:  GFI is generally defined as any information in the possession of, or directly acquired by, the Government and subsequently furnished to the contractor for performance of a contract. </w:t>
      </w:r>
      <w:r w:rsidR="00C94776">
        <w:rPr>
          <w:rStyle w:val="SubtleEmphasis"/>
        </w:rPr>
        <w:t>GFI</w:t>
      </w:r>
      <w:r w:rsidRPr="00926E90">
        <w:rPr>
          <w:rStyle w:val="SubtleEmphasis"/>
        </w:rPr>
        <w:t xml:space="preserve"> includes, but is not limited to, technical data, source code, etc.  If there is proprietary information in the potential GFI, then measures must be taken to avoid violation of applicable regulations.</w:t>
      </w:r>
    </w:p>
    <w:p w14:paraId="6ABD2822" w14:textId="77777777" w:rsidR="00C40F2F" w:rsidRDefault="00354B11" w:rsidP="00C40F2F">
      <w:r>
        <w:t>Do offeror</w:t>
      </w:r>
      <w:r w:rsidR="00B239AD">
        <w:t>(</w:t>
      </w:r>
      <w:r>
        <w:t>s</w:t>
      </w:r>
      <w:r w:rsidR="00B239AD">
        <w:t>)</w:t>
      </w:r>
      <w:r>
        <w:t xml:space="preserve"> need GFI in order to propose?</w:t>
      </w:r>
    </w:p>
    <w:p w14:paraId="75B9A1FA" w14:textId="77777777" w:rsidR="003243D9" w:rsidRDefault="00214CA9" w:rsidP="003243D9">
      <w:sdt>
        <w:sdtPr>
          <w:id w:val="458074996"/>
          <w14:checkbox>
            <w14:checked w14:val="0"/>
            <w14:checkedState w14:val="2612" w14:font="MS Gothic"/>
            <w14:uncheckedState w14:val="2610" w14:font="MS Gothic"/>
          </w14:checkbox>
        </w:sdtPr>
        <w:sdtEndPr/>
        <w:sdtContent>
          <w:r w:rsidR="00354B11">
            <w:rPr>
              <w:rFonts w:ascii="MS Gothic" w:eastAsia="MS Gothic" w:hAnsi="MS Gothic" w:hint="eastAsia"/>
            </w:rPr>
            <w:t>☐</w:t>
          </w:r>
        </w:sdtContent>
      </w:sdt>
      <w:r w:rsidR="00354B11">
        <w:tab/>
        <w:t>Yes</w:t>
      </w:r>
      <w:r w:rsidR="003243D9">
        <w:tab/>
      </w:r>
      <w:r w:rsidR="003243D9">
        <w:tab/>
      </w:r>
      <w:sdt>
        <w:sdtPr>
          <w:id w:val="-214048427"/>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No</w:t>
      </w:r>
    </w:p>
    <w:p w14:paraId="6D87E243" w14:textId="77777777" w:rsidR="00354B11" w:rsidRDefault="00354B11" w:rsidP="00C40F2F">
      <w:r>
        <w:t>If yes, provide list within the PWS or as an attachment to the PWS.</w:t>
      </w:r>
    </w:p>
    <w:p w14:paraId="11001AA8" w14:textId="77777777" w:rsidR="00354B11" w:rsidRDefault="00354B11" w:rsidP="00C40F2F">
      <w:r w:rsidRPr="00D208B2">
        <w:t>List any additional information, websites, or sources: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14:paraId="68552350" w14:textId="77777777" w:rsidTr="00EC1625">
        <w:tc>
          <w:tcPr>
            <w:tcW w:w="9350" w:type="dxa"/>
            <w:shd w:val="clear" w:color="auto" w:fill="DEEAF6" w:themeFill="accent1" w:themeFillTint="33"/>
          </w:tcPr>
          <w:p w14:paraId="4C0B4B50" w14:textId="77777777" w:rsidR="003A2DF6" w:rsidRDefault="003A2DF6" w:rsidP="00EC1625"/>
        </w:tc>
      </w:tr>
    </w:tbl>
    <w:p w14:paraId="25389971" w14:textId="77777777" w:rsidR="0000523A" w:rsidRDefault="0000523A" w:rsidP="00BA2FF7">
      <w:pPr>
        <w:pStyle w:val="Heading1"/>
        <w:ind w:left="547" w:hanging="547"/>
      </w:pPr>
      <w:r w:rsidRPr="00BA2FF7">
        <w:t>Security</w:t>
      </w:r>
      <w:r>
        <w:t xml:space="preserve"> Classification</w:t>
      </w:r>
    </w:p>
    <w:p w14:paraId="076354AD" w14:textId="398A9791" w:rsidR="001A747D" w:rsidRDefault="00214CA9" w:rsidP="001A747D">
      <w:sdt>
        <w:sdtPr>
          <w:id w:val="406580236"/>
          <w14:checkbox>
            <w14:checked w14:val="0"/>
            <w14:checkedState w14:val="2612" w14:font="MS Gothic"/>
            <w14:uncheckedState w14:val="2610" w14:font="MS Gothic"/>
          </w14:checkbox>
        </w:sdtPr>
        <w:sdtEndPr/>
        <w:sdtContent>
          <w:r w:rsidR="006C5253">
            <w:rPr>
              <w:rFonts w:ascii="MS Gothic" w:eastAsia="MS Gothic" w:hAnsi="MS Gothic" w:hint="eastAsia"/>
            </w:rPr>
            <w:t>☐</w:t>
          </w:r>
        </w:sdtContent>
      </w:sdt>
      <w:r w:rsidR="001A747D">
        <w:tab/>
        <w:t xml:space="preserve">This </w:t>
      </w:r>
      <w:r w:rsidR="00546EEE">
        <w:t>requirement</w:t>
      </w:r>
      <w:r w:rsidR="001A747D">
        <w:t xml:space="preserve"> is unclassified.</w:t>
      </w:r>
    </w:p>
    <w:p w14:paraId="08B43569" w14:textId="5A0A3FAE" w:rsidR="003A2DF6" w:rsidRDefault="00214CA9" w:rsidP="001A747D">
      <w:sdt>
        <w:sdtPr>
          <w:id w:val="-1650592909"/>
          <w14:checkbox>
            <w14:checked w14:val="0"/>
            <w14:checkedState w14:val="2612" w14:font="MS Gothic"/>
            <w14:uncheckedState w14:val="2610" w14:font="MS Gothic"/>
          </w14:checkbox>
        </w:sdtPr>
        <w:sdtEndPr/>
        <w:sdtContent>
          <w:r w:rsidR="001A747D">
            <w:rPr>
              <w:rFonts w:ascii="MS Gothic" w:eastAsia="MS Gothic" w:hAnsi="MS Gothic" w:hint="eastAsia"/>
            </w:rPr>
            <w:t>☐</w:t>
          </w:r>
        </w:sdtContent>
      </w:sdt>
      <w:r w:rsidR="001A747D">
        <w:tab/>
        <w:t>Th</w:t>
      </w:r>
      <w:r w:rsidR="003A2DF6">
        <w:t xml:space="preserve">is </w:t>
      </w:r>
      <w:r w:rsidR="00546EEE">
        <w:t>requirement</w:t>
      </w:r>
      <w:r w:rsidR="003A2DF6">
        <w:t xml:space="preserve"> </w:t>
      </w:r>
      <w:r w:rsidR="004868A1">
        <w:t>performs</w:t>
      </w:r>
      <w:r w:rsidR="003A2DF6">
        <w:t xml:space="preserve"> classified</w:t>
      </w:r>
      <w:r w:rsidR="004868A1">
        <w:t xml:space="preserve"> tasks</w:t>
      </w:r>
      <w:r w:rsidR="003A2DF6">
        <w:t xml:space="preserve">.  Specify </w:t>
      </w:r>
      <w:r w:rsidR="00292225">
        <w:t xml:space="preserve">the required security </w:t>
      </w:r>
      <w:r w:rsidR="00E40C2E">
        <w:t xml:space="preserve">classification </w:t>
      </w:r>
      <w:r w:rsidR="003A2DF6">
        <w:t>level</w:t>
      </w:r>
      <w:r w:rsidR="00E40C2E">
        <w:t>(s) below</w:t>
      </w:r>
      <w:r w:rsidR="003A2DF6">
        <w:t xml:space="preserve"> </w:t>
      </w:r>
      <w:r w:rsidR="00D6506A">
        <w:t xml:space="preserve">and provide </w:t>
      </w:r>
      <w:r w:rsidR="00E40C2E">
        <w:t xml:space="preserve">the appropriate </w:t>
      </w:r>
      <w:r w:rsidR="00C94776">
        <w:t>Special Security Officer (</w:t>
      </w:r>
      <w:r w:rsidR="00D6506A">
        <w:t>SSO</w:t>
      </w:r>
      <w:r w:rsidR="00C94776">
        <w:t>)</w:t>
      </w:r>
      <w:r w:rsidR="00D6506A">
        <w:t xml:space="preserve"> approved draft DD254 for solicitation (or SSO concurrence email of the draft DD254 for solicitation) with any attached addenda.</w:t>
      </w:r>
    </w:p>
    <w:p w14:paraId="0471B858" w14:textId="77777777" w:rsidR="001A747D" w:rsidRDefault="001A747D" w:rsidP="00E40C2E">
      <w:pPr>
        <w:ind w:left="720"/>
      </w:pPr>
      <w:r>
        <w:t xml:space="preserve">Personnel Security </w:t>
      </w:r>
      <w:r w:rsidR="00E40C2E">
        <w:t>Level:</w:t>
      </w:r>
    </w:p>
    <w:p w14:paraId="19B9A81E" w14:textId="77777777" w:rsidR="00E40C2E" w:rsidRDefault="00E40C2E" w:rsidP="00E40C2E">
      <w:pPr>
        <w:ind w:left="720"/>
      </w:pPr>
      <w:r>
        <w:t>Facility Storage Security Level:</w:t>
      </w:r>
    </w:p>
    <w:p w14:paraId="02733775" w14:textId="002F1621" w:rsidR="0000523A" w:rsidRDefault="00C94776" w:rsidP="00BA2FF7">
      <w:pPr>
        <w:pStyle w:val="Heading1"/>
        <w:ind w:left="547" w:hanging="547"/>
      </w:pPr>
      <w:r>
        <w:t>International traffic in arms regulations (</w:t>
      </w:r>
      <w:r w:rsidR="0000523A" w:rsidRPr="00BA2FF7">
        <w:t>ITAR</w:t>
      </w:r>
      <w:r>
        <w:t>)</w:t>
      </w:r>
    </w:p>
    <w:p w14:paraId="19232B98" w14:textId="2662132C" w:rsidR="00253939" w:rsidRDefault="00253939" w:rsidP="00253939">
      <w:r w:rsidRPr="00253939">
        <w:t>Are there ITAR concerns with your requirements?</w:t>
      </w:r>
    </w:p>
    <w:p w14:paraId="754C2083" w14:textId="68103F1F" w:rsidR="00253939" w:rsidRPr="00926E90" w:rsidRDefault="00253939" w:rsidP="00253939">
      <w:pPr>
        <w:rPr>
          <w:rStyle w:val="SubtleEmphasis"/>
        </w:rPr>
      </w:pPr>
      <w:r w:rsidRPr="00926E90">
        <w:rPr>
          <w:rStyle w:val="SubtleEmphasis"/>
        </w:rPr>
        <w:t xml:space="preserve">Note:  ITAR regulations dictate that information and material pertaining to defense and military related technologies (items listed on the </w:t>
      </w:r>
      <w:r w:rsidR="00C94776">
        <w:rPr>
          <w:rStyle w:val="SubtleEmphasis"/>
        </w:rPr>
        <w:t>United States (</w:t>
      </w:r>
      <w:r w:rsidRPr="00926E90">
        <w:rPr>
          <w:rStyle w:val="SubtleEmphasis"/>
        </w:rPr>
        <w:t>U.S.</w:t>
      </w:r>
      <w:r w:rsidR="00C94776">
        <w:rPr>
          <w:rStyle w:val="SubtleEmphasis"/>
        </w:rPr>
        <w:t>)</w:t>
      </w:r>
      <w:r w:rsidRPr="00926E90">
        <w:rPr>
          <w:rStyle w:val="SubtleEmphasis"/>
        </w:rPr>
        <w:t xml:space="preserve"> Munitions List) may only be shared with U.S. Persons unless authorization from the Department of State is received or a special exemption is used.  U.S. Persons (including organizations) can face heavy fines if they have, without authorization or the use of an exemption, provided foreign persons with access to ITAR-protected defense articles, services</w:t>
      </w:r>
      <w:r w:rsidR="00C94776">
        <w:rPr>
          <w:rStyle w:val="SubtleEmphasis"/>
        </w:rPr>
        <w:t>,</w:t>
      </w:r>
      <w:r w:rsidRPr="00926E90">
        <w:rPr>
          <w:rStyle w:val="SubtleEmphasis"/>
        </w:rPr>
        <w:t xml:space="preserve"> or technical data.</w:t>
      </w:r>
    </w:p>
    <w:p w14:paraId="04883E93" w14:textId="77777777" w:rsidR="003243D9" w:rsidRDefault="00214CA9" w:rsidP="003243D9">
      <w:sdt>
        <w:sdtPr>
          <w:id w:val="-301549078"/>
          <w14:checkbox>
            <w14:checked w14:val="0"/>
            <w14:checkedState w14:val="2612" w14:font="MS Gothic"/>
            <w14:uncheckedState w14:val="2610" w14:font="MS Gothic"/>
          </w14:checkbox>
        </w:sdtPr>
        <w:sdtEndPr/>
        <w:sdtContent>
          <w:r w:rsidR="00253939">
            <w:rPr>
              <w:rFonts w:ascii="MS Gothic" w:eastAsia="MS Gothic" w:hAnsi="MS Gothic" w:hint="eastAsia"/>
            </w:rPr>
            <w:t>☐</w:t>
          </w:r>
        </w:sdtContent>
      </w:sdt>
      <w:r w:rsidR="00253939">
        <w:tab/>
        <w:t>Yes</w:t>
      </w:r>
      <w:r w:rsidR="003243D9">
        <w:tab/>
      </w:r>
      <w:r w:rsidR="003243D9">
        <w:tab/>
      </w:r>
      <w:sdt>
        <w:sdtPr>
          <w:id w:val="-1583593683"/>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No</w:t>
      </w:r>
    </w:p>
    <w:p w14:paraId="79D53FFA" w14:textId="77777777" w:rsidR="00253939" w:rsidRDefault="00253939" w:rsidP="00253939">
      <w:r>
        <w:t>If yes, insert applicable ITAR information here: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14:paraId="10BCA400" w14:textId="77777777" w:rsidTr="00EC1625">
        <w:tc>
          <w:tcPr>
            <w:tcW w:w="9350" w:type="dxa"/>
            <w:shd w:val="clear" w:color="auto" w:fill="DEEAF6" w:themeFill="accent1" w:themeFillTint="33"/>
          </w:tcPr>
          <w:p w14:paraId="05044AF7" w14:textId="77777777" w:rsidR="003A2DF6" w:rsidRDefault="003A2DF6" w:rsidP="00EC1625"/>
        </w:tc>
      </w:tr>
    </w:tbl>
    <w:p w14:paraId="2FEC454E" w14:textId="7D87B4D6" w:rsidR="005926A3" w:rsidRDefault="008D2DBB" w:rsidP="00BA2FF7">
      <w:pPr>
        <w:pStyle w:val="Heading1"/>
        <w:ind w:left="547" w:hanging="547"/>
      </w:pPr>
      <w:r>
        <w:t>status of for</w:t>
      </w:r>
      <w:r w:rsidR="00C94776">
        <w:t>ces agreement (</w:t>
      </w:r>
      <w:r w:rsidR="005926A3" w:rsidRPr="00BA2FF7">
        <w:t>SOFA</w:t>
      </w:r>
      <w:r w:rsidR="00C94776">
        <w:t>)</w:t>
      </w:r>
    </w:p>
    <w:p w14:paraId="162B88BF" w14:textId="397F23C1" w:rsidR="005926A3" w:rsidRDefault="005926A3" w:rsidP="005926A3">
      <w:r w:rsidRPr="00253939">
        <w:t>Will travel or performance require consideration of a SOFA?</w:t>
      </w:r>
    </w:p>
    <w:p w14:paraId="1F29BED6" w14:textId="77777777" w:rsidR="005926A3" w:rsidRPr="00926E90" w:rsidRDefault="005926A3" w:rsidP="005926A3">
      <w:pPr>
        <w:rPr>
          <w:rStyle w:val="SubtleEmphasis"/>
        </w:rPr>
      </w:pPr>
      <w:r w:rsidRPr="00926E90">
        <w:rPr>
          <w:rStyle w:val="SubtleEmphasis"/>
        </w:rPr>
        <w:t>Note:  A SOFA is an agreement between a host country and a foreign nation stationing military forces in that country. SOFAs are as part of a comprehensive security arrangement that is intended to clarify the terms under which the foreign military is allowed to operate and is more concerned with the legal issues associated with military individuals and property.</w:t>
      </w:r>
    </w:p>
    <w:p w14:paraId="1F8ADB1B" w14:textId="77777777" w:rsidR="005926A3" w:rsidRDefault="00214CA9" w:rsidP="005926A3">
      <w:sdt>
        <w:sdtPr>
          <w:id w:val="-5308667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Yes</w:t>
      </w:r>
      <w:r w:rsidR="005926A3">
        <w:tab/>
      </w:r>
      <w:r w:rsidR="005926A3">
        <w:tab/>
      </w:r>
      <w:sdt>
        <w:sdtPr>
          <w:id w:val="149760529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No</w:t>
      </w:r>
    </w:p>
    <w:p w14:paraId="2D04599A" w14:textId="77777777" w:rsidR="005926A3" w:rsidRDefault="005926A3" w:rsidP="005926A3">
      <w:r>
        <w:t>If yes, check all that apply:</w:t>
      </w:r>
    </w:p>
    <w:p w14:paraId="1AEE24AA" w14:textId="50460937" w:rsidR="005926A3" w:rsidRDefault="00214CA9" w:rsidP="005926A3">
      <w:sdt>
        <w:sdtPr>
          <w:id w:val="1609159525"/>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w:t>
      </w:r>
      <w:r w:rsidR="00C94776">
        <w:t>.</w:t>
      </w:r>
      <w:r w:rsidR="005926A3">
        <w:t>S</w:t>
      </w:r>
      <w:r w:rsidR="00C94776">
        <w:t>.</w:t>
      </w:r>
      <w:r w:rsidR="005926A3">
        <w:t xml:space="preserve">-IRAQ </w:t>
      </w:r>
      <w:r w:rsidR="00C94776">
        <w:t>SOFA</w:t>
      </w:r>
    </w:p>
    <w:p w14:paraId="3D015EAE" w14:textId="0D4132AE" w:rsidR="005926A3" w:rsidRDefault="00214CA9" w:rsidP="005926A3">
      <w:sdt>
        <w:sdtPr>
          <w:id w:val="724106548"/>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w:t>
      </w:r>
      <w:r w:rsidR="00C94776">
        <w:t>.</w:t>
      </w:r>
      <w:r w:rsidR="005926A3">
        <w:t>S</w:t>
      </w:r>
      <w:r w:rsidR="00C94776">
        <w:t>.</w:t>
      </w:r>
      <w:r w:rsidR="005926A3">
        <w:t xml:space="preserve">-Japan </w:t>
      </w:r>
      <w:r w:rsidR="00C94776">
        <w:t>SOFA</w:t>
      </w:r>
    </w:p>
    <w:p w14:paraId="789A19A4" w14:textId="6C3B5258" w:rsidR="005926A3" w:rsidRDefault="00214CA9" w:rsidP="005926A3">
      <w:sdt>
        <w:sdtPr>
          <w:id w:val="809365889"/>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w:t>
      </w:r>
      <w:r w:rsidR="00C94776">
        <w:t>.</w:t>
      </w:r>
      <w:r w:rsidR="005926A3">
        <w:t>S</w:t>
      </w:r>
      <w:r w:rsidR="00C94776">
        <w:t>.</w:t>
      </w:r>
      <w:r w:rsidR="005926A3">
        <w:t xml:space="preserve">-South Korea </w:t>
      </w:r>
      <w:r w:rsidR="00C94776">
        <w:t>SOFA</w:t>
      </w:r>
    </w:p>
    <w:p w14:paraId="4AD6A003" w14:textId="77777777" w:rsidR="0000523A" w:rsidRDefault="0000523A" w:rsidP="00BA2FF7">
      <w:pPr>
        <w:pStyle w:val="Heading1"/>
        <w:ind w:left="547" w:hanging="547"/>
      </w:pPr>
      <w:r w:rsidRPr="00BA2FF7">
        <w:t>Item</w:t>
      </w:r>
      <w:r>
        <w:t xml:space="preserve"> Unique Identification (IUID)</w:t>
      </w:r>
    </w:p>
    <w:p w14:paraId="26C5819C" w14:textId="2A6BAEDB" w:rsidR="001140C2" w:rsidRPr="00926E90" w:rsidRDefault="001140C2" w:rsidP="001140C2">
      <w:r w:rsidRPr="00926E90">
        <w:t xml:space="preserve">Note:  IUID is a globally unique and unambiguous identifier that distinguishes an item from all other like and unlike items valued at $5K or more. The </w:t>
      </w:r>
      <w:r w:rsidR="00C94776">
        <w:t>I</w:t>
      </w:r>
      <w:r w:rsidRPr="00926E90">
        <w:t>UI</w:t>
      </w:r>
      <w:r w:rsidR="00C94776">
        <w:t>D</w:t>
      </w:r>
      <w:r w:rsidRPr="00926E90">
        <w:t xml:space="preserve"> is derived from a</w:t>
      </w:r>
      <w:r w:rsidR="00C94776">
        <w:t>n I</w:t>
      </w:r>
      <w:r w:rsidRPr="00926E90">
        <w:t>UI</w:t>
      </w:r>
      <w:r w:rsidR="00C94776">
        <w:t>D</w:t>
      </w:r>
      <w:r w:rsidRPr="00926E90">
        <w:t xml:space="preserve"> Data Set of one or more data elements marked on an item from which the concatenated IUID can be derived (Ref: MIL-STD-130N Change 1).</w:t>
      </w:r>
    </w:p>
    <w:p w14:paraId="020A1471" w14:textId="77777777" w:rsidR="001140C2" w:rsidRDefault="00214CA9" w:rsidP="001140C2">
      <w:sdt>
        <w:sdtPr>
          <w:id w:val="-489793182"/>
          <w14:checkbox>
            <w14:checked w14:val="0"/>
            <w14:checkedState w14:val="2612" w14:font="MS Gothic"/>
            <w14:uncheckedState w14:val="2610" w14:font="MS Gothic"/>
          </w14:checkbox>
        </w:sdtPr>
        <w:sdtEndPr/>
        <w:sdtContent>
          <w:r w:rsidR="001140C2">
            <w:rPr>
              <w:rFonts w:ascii="MS Gothic" w:eastAsia="MS Gothic" w:hAnsi="MS Gothic" w:hint="eastAsia"/>
            </w:rPr>
            <w:t>☐</w:t>
          </w:r>
        </w:sdtContent>
      </w:sdt>
      <w:r w:rsidR="001140C2">
        <w:tab/>
        <w:t>None</w:t>
      </w:r>
    </w:p>
    <w:p w14:paraId="57BEF390" w14:textId="77777777" w:rsidR="001140C2" w:rsidRDefault="00214CA9" w:rsidP="001140C2">
      <w:sdt>
        <w:sdtPr>
          <w:id w:val="1268888000"/>
          <w14:checkbox>
            <w14:checked w14:val="0"/>
            <w14:checkedState w14:val="2612" w14:font="MS Gothic"/>
            <w14:uncheckedState w14:val="2610" w14:font="MS Gothic"/>
          </w14:checkbox>
        </w:sdtPr>
        <w:sdtEndPr/>
        <w:sdtContent>
          <w:r w:rsidR="001140C2">
            <w:rPr>
              <w:rFonts w:ascii="MS Gothic" w:eastAsia="MS Gothic" w:hAnsi="MS Gothic" w:hint="eastAsia"/>
            </w:rPr>
            <w:t>☐</w:t>
          </w:r>
        </w:sdtContent>
      </w:sdt>
      <w:r w:rsidR="001140C2">
        <w:tab/>
        <w:t>List any anticipated deliverables and value that fall in this category:</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14:paraId="407E47D9" w14:textId="77777777" w:rsidTr="00EC1625">
        <w:tc>
          <w:tcPr>
            <w:tcW w:w="9350" w:type="dxa"/>
            <w:shd w:val="clear" w:color="auto" w:fill="DEEAF6" w:themeFill="accent1" w:themeFillTint="33"/>
          </w:tcPr>
          <w:p w14:paraId="5392C437" w14:textId="77777777" w:rsidR="003A2DF6" w:rsidRDefault="003A2DF6" w:rsidP="00EC1625"/>
        </w:tc>
      </w:tr>
    </w:tbl>
    <w:p w14:paraId="47972FD1" w14:textId="77777777" w:rsidR="0000523A" w:rsidRDefault="0000523A" w:rsidP="00BA2FF7">
      <w:pPr>
        <w:pStyle w:val="Heading1"/>
        <w:ind w:left="547" w:hanging="547"/>
      </w:pPr>
      <w:r w:rsidRPr="00BA2FF7">
        <w:t>Rights</w:t>
      </w:r>
      <w:r>
        <w:t xml:space="preserve"> in Technical Data</w:t>
      </w:r>
    </w:p>
    <w:p w14:paraId="0E12328E" w14:textId="77777777" w:rsidR="00895E4F" w:rsidRDefault="00895E4F" w:rsidP="00895E4F">
      <w:r>
        <w:t>Review in its entirety DFARS 227.7103-5, Government Rights, which defines the three standard levels of government rights (unlimited, Government purpose, and limited) as well as specially negotiated rights for technical data other than computer software.</w:t>
      </w:r>
    </w:p>
    <w:p w14:paraId="6B2A2BF4" w14:textId="77777777" w:rsidR="00895E4F" w:rsidRDefault="00895E4F" w:rsidP="00895E4F">
      <w:r>
        <w:t>Review in its entirety DFARS 227.7203-5, Government Rights, which defines the three standard levels of government rights (unlimited, government purpose, and restricted) as well as specially negotiated rights for computer software and computer software documentation.</w:t>
      </w:r>
    </w:p>
    <w:p w14:paraId="4BE51C96" w14:textId="316103D4" w:rsidR="00895E4F" w:rsidRDefault="00895E4F" w:rsidP="00895E4F">
      <w:r>
        <w:t xml:space="preserve">Note that greater levels of rights equate to greater levels of cost to the </w:t>
      </w:r>
      <w:r w:rsidR="00710C13">
        <w:t>G</w:t>
      </w:r>
      <w:r>
        <w:t>overnment.</w:t>
      </w:r>
    </w:p>
    <w:p w14:paraId="2F868487" w14:textId="77777777" w:rsidR="001140C2" w:rsidRDefault="00895E4F" w:rsidP="00895E4F">
      <w:r>
        <w:t>Applicable:</w:t>
      </w:r>
    </w:p>
    <w:p w14:paraId="5697074F" w14:textId="77777777" w:rsidR="009A673C" w:rsidRPr="001140C2" w:rsidRDefault="00214CA9" w:rsidP="009A673C">
      <w:sdt>
        <w:sdtPr>
          <w:id w:val="1975024419"/>
          <w14:checkbox>
            <w14:checked w14:val="0"/>
            <w14:checkedState w14:val="2612" w14:font="MS Gothic"/>
            <w14:uncheckedState w14:val="2610" w14:font="MS Gothic"/>
          </w14:checkbox>
        </w:sdtPr>
        <w:sdtEndPr/>
        <w:sdtContent>
          <w:r w:rsidR="00895E4F">
            <w:rPr>
              <w:rFonts w:ascii="MS Gothic" w:eastAsia="MS Gothic" w:hAnsi="MS Gothic" w:hint="eastAsia"/>
            </w:rPr>
            <w:t>☐</w:t>
          </w:r>
        </w:sdtContent>
      </w:sdt>
      <w:r w:rsidR="00895E4F">
        <w:tab/>
        <w:t>Yes</w:t>
      </w:r>
      <w:r w:rsidR="009A673C">
        <w:tab/>
      </w:r>
      <w:r w:rsidR="009A673C">
        <w:tab/>
      </w:r>
      <w:sdt>
        <w:sdtPr>
          <w:id w:val="967704468"/>
          <w14:checkbox>
            <w14:checked w14:val="0"/>
            <w14:checkedState w14:val="2612" w14:font="MS Gothic"/>
            <w14:uncheckedState w14:val="2610" w14:font="MS Gothic"/>
          </w14:checkbox>
        </w:sdtPr>
        <w:sdtEndPr/>
        <w:sdtContent>
          <w:r w:rsidR="009A673C">
            <w:rPr>
              <w:rFonts w:ascii="MS Gothic" w:eastAsia="MS Gothic" w:hAnsi="MS Gothic" w:hint="eastAsia"/>
            </w:rPr>
            <w:t>☐</w:t>
          </w:r>
        </w:sdtContent>
      </w:sdt>
      <w:r w:rsidR="009A673C">
        <w:tab/>
        <w:t>No</w:t>
      </w:r>
    </w:p>
    <w:p w14:paraId="7B003A7C" w14:textId="284EDFA4" w:rsidR="0000523A" w:rsidRDefault="0000523A" w:rsidP="00BA2FF7">
      <w:pPr>
        <w:pStyle w:val="Heading1"/>
        <w:ind w:left="547" w:hanging="547"/>
      </w:pPr>
      <w:r w:rsidRPr="00BA2FF7">
        <w:t>Earned</w:t>
      </w:r>
      <w:r>
        <w:t xml:space="preserve"> Value Management System</w:t>
      </w:r>
      <w:r w:rsidR="00710C13">
        <w:t xml:space="preserve"> (EVMS)</w:t>
      </w:r>
    </w:p>
    <w:p w14:paraId="52D0B09D" w14:textId="708D2CDE" w:rsidR="00895E4F" w:rsidRPr="00926E90" w:rsidRDefault="00254421" w:rsidP="00895E4F">
      <w:pPr>
        <w:rPr>
          <w:rStyle w:val="SubtleEmphasis"/>
        </w:rPr>
      </w:pPr>
      <w:r w:rsidRPr="00EB5743">
        <w:rPr>
          <w:rStyle w:val="SubtleEmphasis"/>
        </w:rPr>
        <w:t xml:space="preserve">Note:  </w:t>
      </w:r>
      <w:r w:rsidR="00292225" w:rsidRPr="00EB5743">
        <w:rPr>
          <w:rStyle w:val="SubtleEmphasis"/>
        </w:rPr>
        <w:t xml:space="preserve">An </w:t>
      </w:r>
      <w:r w:rsidRPr="00EB5743">
        <w:rPr>
          <w:rStyle w:val="SubtleEmphasis"/>
        </w:rPr>
        <w:t xml:space="preserve">EVMS is required for </w:t>
      </w:r>
      <w:r w:rsidR="00292225" w:rsidRPr="00EB5743">
        <w:rPr>
          <w:rStyle w:val="SubtleEmphasis"/>
        </w:rPr>
        <w:t>m</w:t>
      </w:r>
      <w:r w:rsidRPr="00EB5743">
        <w:rPr>
          <w:rStyle w:val="SubtleEmphasis"/>
        </w:rPr>
        <w:t xml:space="preserve">ajor acquisitions for development, in accordance with </w:t>
      </w:r>
      <w:r w:rsidR="00710C13">
        <w:rPr>
          <w:rStyle w:val="SubtleEmphasis"/>
        </w:rPr>
        <w:t>Office of Management and Budget (</w:t>
      </w:r>
      <w:r w:rsidRPr="00EB5743">
        <w:rPr>
          <w:rStyle w:val="SubtleEmphasis"/>
        </w:rPr>
        <w:t>OMB</w:t>
      </w:r>
      <w:r w:rsidR="00710C13">
        <w:rPr>
          <w:rStyle w:val="SubtleEmphasis"/>
        </w:rPr>
        <w:t>)</w:t>
      </w:r>
      <w:r w:rsidRPr="00EB5743">
        <w:rPr>
          <w:rStyle w:val="SubtleEmphasis"/>
        </w:rPr>
        <w:t xml:space="preserve"> Circular A-11.  EVMS is required for cost or incentive contracts and subcontracts valued at $20,000,000 or more.</w:t>
      </w:r>
      <w:r w:rsidR="00383859" w:rsidRPr="00EB5743">
        <w:rPr>
          <w:rStyle w:val="SubtleEmphasis"/>
        </w:rPr>
        <w:t xml:space="preserve">  </w:t>
      </w:r>
      <w:r w:rsidR="00F679ED" w:rsidRPr="00F679ED">
        <w:rPr>
          <w:rStyle w:val="SubtleEmphasis"/>
        </w:rPr>
        <w:t>A Major Defense Acquisition Program (MDAP) is a program that meet</w:t>
      </w:r>
      <w:r w:rsidR="00F679ED">
        <w:rPr>
          <w:rStyle w:val="SubtleEmphasis"/>
        </w:rPr>
        <w:t>s</w:t>
      </w:r>
      <w:r w:rsidR="00F679ED" w:rsidRPr="00F679ED">
        <w:rPr>
          <w:rStyle w:val="SubtleEmphasis"/>
        </w:rPr>
        <w:t xml:space="preserve"> or exceeds the </w:t>
      </w:r>
      <w:r w:rsidR="00F679ED">
        <w:rPr>
          <w:rStyle w:val="SubtleEmphasis"/>
        </w:rPr>
        <w:t>Acquisition Category (</w:t>
      </w:r>
      <w:r w:rsidR="00F679ED" w:rsidRPr="00F679ED">
        <w:rPr>
          <w:rStyle w:val="SubtleEmphasis"/>
        </w:rPr>
        <w:t>ACAT</w:t>
      </w:r>
      <w:r w:rsidR="00F679ED">
        <w:rPr>
          <w:rStyle w:val="SubtleEmphasis"/>
        </w:rPr>
        <w:t>)</w:t>
      </w:r>
      <w:r w:rsidR="00F679ED" w:rsidRPr="00F679ED">
        <w:rPr>
          <w:rStyle w:val="SubtleEmphasis"/>
        </w:rPr>
        <w:t xml:space="preserve"> I requirements in DoD Instruction 5000.02 “Operation of the Defense Acquisition System” and is classified as a MDAP by the Milestone Decision Authority</w:t>
      </w:r>
      <w:r w:rsidR="00F679ED">
        <w:rPr>
          <w:rStyle w:val="SubtleEmphasis"/>
        </w:rPr>
        <w:t xml:space="preserve">.  </w:t>
      </w:r>
      <w:r w:rsidR="00E93E50">
        <w:rPr>
          <w:rStyle w:val="SubtleEmphasis"/>
        </w:rPr>
        <w:t xml:space="preserve">The IAC MAC </w:t>
      </w:r>
      <w:r w:rsidR="00292225">
        <w:rPr>
          <w:rStyle w:val="SubtleEmphasis"/>
        </w:rPr>
        <w:t>has not been structured to execute major acquisitions that require EVMS.</w:t>
      </w:r>
    </w:p>
    <w:p w14:paraId="2B1463C2" w14:textId="72FF37DB" w:rsidR="00254421" w:rsidRDefault="00254421" w:rsidP="00895E4F">
      <w:r w:rsidRPr="00254421">
        <w:t xml:space="preserve">Does </w:t>
      </w:r>
      <w:r w:rsidR="008D3416">
        <w:t xml:space="preserve">this </w:t>
      </w:r>
      <w:r w:rsidRPr="00254421">
        <w:t xml:space="preserve">requirement fall under </w:t>
      </w:r>
      <w:r w:rsidR="00E93E50">
        <w:t xml:space="preserve">the definition of </w:t>
      </w:r>
      <w:r w:rsidRPr="00254421">
        <w:t xml:space="preserve">a </w:t>
      </w:r>
      <w:r w:rsidR="00710C13">
        <w:t>MDAP</w:t>
      </w:r>
      <w:r w:rsidR="00292225">
        <w:t xml:space="preserve">, </w:t>
      </w:r>
      <w:r w:rsidR="00292225" w:rsidRPr="00292225">
        <w:t>Major Automated Information System</w:t>
      </w:r>
      <w:r w:rsidR="00292225">
        <w:t xml:space="preserve"> Program,</w:t>
      </w:r>
      <w:r w:rsidR="00E93E50">
        <w:t xml:space="preserve"> or </w:t>
      </w:r>
      <w:r w:rsidRPr="00254421">
        <w:t>Major System?</w:t>
      </w:r>
    </w:p>
    <w:p w14:paraId="4843D275" w14:textId="77777777" w:rsidR="009A673C" w:rsidRPr="00895E4F" w:rsidRDefault="00214CA9" w:rsidP="009A673C">
      <w:sdt>
        <w:sdtPr>
          <w:id w:val="1148941205"/>
          <w14:checkbox>
            <w14:checked w14:val="0"/>
            <w14:checkedState w14:val="2612" w14:font="MS Gothic"/>
            <w14:uncheckedState w14:val="2610" w14:font="MS Gothic"/>
          </w14:checkbox>
        </w:sdtPr>
        <w:sdtEndPr/>
        <w:sdtContent>
          <w:r w:rsidR="00254421">
            <w:rPr>
              <w:rFonts w:ascii="MS Gothic" w:eastAsia="MS Gothic" w:hAnsi="MS Gothic" w:hint="eastAsia"/>
            </w:rPr>
            <w:t>☐</w:t>
          </w:r>
        </w:sdtContent>
      </w:sdt>
      <w:r w:rsidR="00254421">
        <w:tab/>
        <w:t>Yes</w:t>
      </w:r>
      <w:r w:rsidR="009A673C">
        <w:tab/>
      </w:r>
      <w:r w:rsidR="009A673C">
        <w:tab/>
      </w:r>
      <w:sdt>
        <w:sdtPr>
          <w:id w:val="-2002182717"/>
          <w14:checkbox>
            <w14:checked w14:val="0"/>
            <w14:checkedState w14:val="2612" w14:font="MS Gothic"/>
            <w14:uncheckedState w14:val="2610" w14:font="MS Gothic"/>
          </w14:checkbox>
        </w:sdtPr>
        <w:sdtEndPr/>
        <w:sdtContent>
          <w:r w:rsidR="009A673C">
            <w:rPr>
              <w:rFonts w:ascii="MS Gothic" w:eastAsia="MS Gothic" w:hAnsi="MS Gothic" w:hint="eastAsia"/>
            </w:rPr>
            <w:t>☐</w:t>
          </w:r>
        </w:sdtContent>
      </w:sdt>
      <w:r w:rsidR="009A673C">
        <w:tab/>
        <w:t>No</w:t>
      </w:r>
    </w:p>
    <w:p w14:paraId="6CEDA932" w14:textId="77777777" w:rsidR="00383859" w:rsidRDefault="00383859" w:rsidP="00BA2FF7">
      <w:pPr>
        <w:pStyle w:val="Heading1"/>
        <w:ind w:left="547" w:hanging="547"/>
      </w:pPr>
      <w:r w:rsidRPr="00BA2FF7">
        <w:t>UNIT</w:t>
      </w:r>
      <w:r>
        <w:t xml:space="preserve"> IDENTIFICATION CODE (UIC)</w:t>
      </w:r>
    </w:p>
    <w:p w14:paraId="7480C312" w14:textId="77777777" w:rsidR="00383859" w:rsidRPr="00926E90" w:rsidRDefault="00383859" w:rsidP="00383859">
      <w:pPr>
        <w:rPr>
          <w:rStyle w:val="SubtleEmphasis"/>
        </w:rPr>
      </w:pPr>
      <w:r w:rsidRPr="00926E90">
        <w:rPr>
          <w:rStyle w:val="SubtleEmphasis"/>
        </w:rPr>
        <w:t>Insert applicable UIC(s) – can be obtained from your manpower office as this code is required for manpower reporting.</w:t>
      </w:r>
    </w:p>
    <w:p w14:paraId="0AC87690" w14:textId="057DABBD" w:rsidR="00383859" w:rsidRPr="00926E90" w:rsidRDefault="00383859" w:rsidP="00383859">
      <w:pPr>
        <w:rPr>
          <w:rStyle w:val="SubtleEmphasis"/>
        </w:rPr>
      </w:pPr>
      <w:r w:rsidRPr="00926E90">
        <w:rPr>
          <w:rStyle w:val="SubtleEmphasis"/>
        </w:rPr>
        <w:t xml:space="preserve">NOTE:  This is not the DODAAC. The UIC is a six character alphanumeric code which uniquely identifies each </w:t>
      </w:r>
      <w:r w:rsidR="00710C13">
        <w:rPr>
          <w:rStyle w:val="SubtleEmphasis"/>
        </w:rPr>
        <w:t>U.S. DoD e</w:t>
      </w:r>
      <w:r w:rsidRPr="00926E90">
        <w:rPr>
          <w:rStyle w:val="SubtleEmphasis"/>
        </w:rPr>
        <w:t>ntity.</w:t>
      </w:r>
    </w:p>
    <w:tbl>
      <w:tblPr>
        <w:tblStyle w:val="TableGrid"/>
        <w:tblW w:w="9445" w:type="dxa"/>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445"/>
      </w:tblGrid>
      <w:tr w:rsidR="00383859" w14:paraId="0F54F4EB" w14:textId="77777777" w:rsidTr="00A862BC">
        <w:tc>
          <w:tcPr>
            <w:tcW w:w="9445" w:type="dxa"/>
            <w:shd w:val="clear" w:color="auto" w:fill="DEEAF6" w:themeFill="accent1" w:themeFillTint="33"/>
          </w:tcPr>
          <w:p w14:paraId="477930E1" w14:textId="77777777" w:rsidR="00383859" w:rsidRDefault="00383859" w:rsidP="00C94776"/>
        </w:tc>
      </w:tr>
    </w:tbl>
    <w:p w14:paraId="4944924B" w14:textId="77777777" w:rsidR="00D81011" w:rsidRPr="0075678C" w:rsidRDefault="00D81011" w:rsidP="00D81011">
      <w:pPr>
        <w:rPr>
          <w:rStyle w:val="SubtleEmphasis"/>
          <w:i w:val="0"/>
          <w:iCs w:val="0"/>
          <w:color w:val="auto"/>
        </w:rPr>
      </w:pPr>
    </w:p>
    <w:p w14:paraId="66AD268E" w14:textId="0C614089" w:rsidR="0000523A" w:rsidRDefault="00710C13" w:rsidP="00BA2FF7">
      <w:pPr>
        <w:pStyle w:val="Heading1"/>
        <w:ind w:left="547" w:hanging="547"/>
      </w:pPr>
      <w:r>
        <w:t>alternate contracting officer’s representative (</w:t>
      </w:r>
      <w:r w:rsidR="0000523A" w:rsidRPr="00BA2FF7">
        <w:t>ACOR</w:t>
      </w:r>
      <w:r>
        <w:t>)</w:t>
      </w:r>
    </w:p>
    <w:p w14:paraId="1BACF13A" w14:textId="17043724" w:rsidR="007841C9" w:rsidRPr="00926E90" w:rsidRDefault="00710C13" w:rsidP="007841C9">
      <w:pPr>
        <w:rPr>
          <w:rStyle w:val="SubtleEmphasis"/>
        </w:rPr>
      </w:pPr>
      <w:r>
        <w:rPr>
          <w:rStyle w:val="SubtleEmphasis"/>
        </w:rPr>
        <w:t>The Requiring Activity (</w:t>
      </w:r>
      <w:r w:rsidR="007841C9" w:rsidRPr="00926E90">
        <w:rPr>
          <w:rStyle w:val="SubtleEmphasis"/>
        </w:rPr>
        <w:t>RA</w:t>
      </w:r>
      <w:r>
        <w:rPr>
          <w:rStyle w:val="SubtleEmphasis"/>
        </w:rPr>
        <w:t>)</w:t>
      </w:r>
      <w:r w:rsidR="007841C9" w:rsidRPr="00926E90">
        <w:rPr>
          <w:rStyle w:val="SubtleEmphasis"/>
        </w:rPr>
        <w:t xml:space="preserve"> understands that the ACOR must be trained (COR, Ethics, and Combating Human Trafficking) and appointed prior to TO award.</w:t>
      </w:r>
    </w:p>
    <w:tbl>
      <w:tblPr>
        <w:tblStyle w:val="TableGrid"/>
        <w:tblW w:w="0" w:type="auto"/>
        <w:tblLook w:val="04A0" w:firstRow="1" w:lastRow="0" w:firstColumn="1" w:lastColumn="0" w:noHBand="0" w:noVBand="1"/>
      </w:tblPr>
      <w:tblGrid>
        <w:gridCol w:w="2337"/>
        <w:gridCol w:w="2337"/>
        <w:gridCol w:w="2338"/>
        <w:gridCol w:w="2338"/>
      </w:tblGrid>
      <w:tr w:rsidR="007841C9" w14:paraId="574CEFD5" w14:textId="77777777" w:rsidTr="007841C9">
        <w:tc>
          <w:tcPr>
            <w:tcW w:w="9350" w:type="dxa"/>
            <w:gridSpan w:val="4"/>
            <w:shd w:val="clear" w:color="auto" w:fill="F2F2F2" w:themeFill="background1" w:themeFillShade="F2"/>
          </w:tcPr>
          <w:p w14:paraId="54AEF72A" w14:textId="77777777" w:rsidR="007841C9" w:rsidRDefault="007841C9" w:rsidP="007841C9">
            <w:pPr>
              <w:jc w:val="center"/>
            </w:pPr>
            <w:r>
              <w:t>ACOR Information</w:t>
            </w:r>
          </w:p>
        </w:tc>
      </w:tr>
      <w:tr w:rsidR="007841C9" w14:paraId="31FAAA81" w14:textId="77777777" w:rsidTr="003A2DF6">
        <w:tc>
          <w:tcPr>
            <w:tcW w:w="2337" w:type="dxa"/>
          </w:tcPr>
          <w:p w14:paraId="3D999599" w14:textId="77777777" w:rsidR="007841C9" w:rsidRDefault="007841C9" w:rsidP="007841C9">
            <w:r>
              <w:t>Name:</w:t>
            </w:r>
          </w:p>
        </w:tc>
        <w:tc>
          <w:tcPr>
            <w:tcW w:w="2337" w:type="dxa"/>
            <w:shd w:val="clear" w:color="auto" w:fill="DEEAF6" w:themeFill="accent1" w:themeFillTint="33"/>
          </w:tcPr>
          <w:p w14:paraId="480CD28B" w14:textId="77777777" w:rsidR="007841C9" w:rsidRDefault="007841C9" w:rsidP="007841C9"/>
        </w:tc>
        <w:tc>
          <w:tcPr>
            <w:tcW w:w="2338" w:type="dxa"/>
          </w:tcPr>
          <w:p w14:paraId="2EF5EEAC" w14:textId="77777777" w:rsidR="007841C9" w:rsidRDefault="007841C9" w:rsidP="007841C9">
            <w:r>
              <w:t>Title:</w:t>
            </w:r>
          </w:p>
        </w:tc>
        <w:tc>
          <w:tcPr>
            <w:tcW w:w="2338" w:type="dxa"/>
            <w:shd w:val="clear" w:color="auto" w:fill="DEEAF6" w:themeFill="accent1" w:themeFillTint="33"/>
          </w:tcPr>
          <w:p w14:paraId="2BD1FD99" w14:textId="77777777" w:rsidR="007841C9" w:rsidRDefault="007841C9" w:rsidP="007841C9"/>
        </w:tc>
      </w:tr>
      <w:tr w:rsidR="007841C9" w14:paraId="1666C72A" w14:textId="77777777" w:rsidTr="003A2DF6">
        <w:tc>
          <w:tcPr>
            <w:tcW w:w="2337" w:type="dxa"/>
          </w:tcPr>
          <w:p w14:paraId="786BDB1F" w14:textId="77777777" w:rsidR="007841C9" w:rsidRDefault="007841C9" w:rsidP="007841C9">
            <w:r>
              <w:t>Organization:</w:t>
            </w:r>
          </w:p>
        </w:tc>
        <w:tc>
          <w:tcPr>
            <w:tcW w:w="2337" w:type="dxa"/>
            <w:shd w:val="clear" w:color="auto" w:fill="DEEAF6" w:themeFill="accent1" w:themeFillTint="33"/>
          </w:tcPr>
          <w:p w14:paraId="5CC2204F" w14:textId="77777777" w:rsidR="007841C9" w:rsidRDefault="007841C9" w:rsidP="007841C9"/>
        </w:tc>
        <w:tc>
          <w:tcPr>
            <w:tcW w:w="2338" w:type="dxa"/>
          </w:tcPr>
          <w:p w14:paraId="1E5E4DD8" w14:textId="77777777" w:rsidR="007841C9" w:rsidRDefault="007841C9" w:rsidP="007841C9">
            <w:r>
              <w:t>Office Code:</w:t>
            </w:r>
          </w:p>
        </w:tc>
        <w:tc>
          <w:tcPr>
            <w:tcW w:w="2338" w:type="dxa"/>
            <w:shd w:val="clear" w:color="auto" w:fill="DEEAF6" w:themeFill="accent1" w:themeFillTint="33"/>
          </w:tcPr>
          <w:p w14:paraId="22DD1476" w14:textId="77777777" w:rsidR="007841C9" w:rsidRDefault="007841C9" w:rsidP="007841C9"/>
        </w:tc>
      </w:tr>
      <w:tr w:rsidR="007841C9" w14:paraId="31997763" w14:textId="77777777" w:rsidTr="003A2DF6">
        <w:tc>
          <w:tcPr>
            <w:tcW w:w="2337" w:type="dxa"/>
          </w:tcPr>
          <w:p w14:paraId="7FF356FE" w14:textId="77777777" w:rsidR="007841C9" w:rsidRDefault="007841C9" w:rsidP="007841C9">
            <w:r>
              <w:t>COR Training Dates:</w:t>
            </w:r>
          </w:p>
        </w:tc>
        <w:tc>
          <w:tcPr>
            <w:tcW w:w="2337" w:type="dxa"/>
            <w:shd w:val="clear" w:color="auto" w:fill="DEEAF6" w:themeFill="accent1" w:themeFillTint="33"/>
          </w:tcPr>
          <w:p w14:paraId="355D4C14" w14:textId="77777777" w:rsidR="007841C9" w:rsidRDefault="007841C9" w:rsidP="007841C9"/>
        </w:tc>
        <w:tc>
          <w:tcPr>
            <w:tcW w:w="2338" w:type="dxa"/>
          </w:tcPr>
          <w:p w14:paraId="573C7434" w14:textId="77777777" w:rsidR="007841C9" w:rsidRDefault="007841C9" w:rsidP="007841C9">
            <w:r>
              <w:t>E-Mail:</w:t>
            </w:r>
          </w:p>
        </w:tc>
        <w:tc>
          <w:tcPr>
            <w:tcW w:w="2338" w:type="dxa"/>
            <w:shd w:val="clear" w:color="auto" w:fill="DEEAF6" w:themeFill="accent1" w:themeFillTint="33"/>
          </w:tcPr>
          <w:p w14:paraId="4542E008" w14:textId="77777777" w:rsidR="007841C9" w:rsidRDefault="007841C9" w:rsidP="007841C9"/>
        </w:tc>
      </w:tr>
      <w:tr w:rsidR="007841C9" w14:paraId="05CD028C" w14:textId="77777777" w:rsidTr="003A2DF6">
        <w:tc>
          <w:tcPr>
            <w:tcW w:w="2337" w:type="dxa"/>
          </w:tcPr>
          <w:p w14:paraId="6785DAB1" w14:textId="77777777" w:rsidR="007841C9" w:rsidRDefault="007841C9" w:rsidP="007841C9">
            <w:r>
              <w:t>Agency DODAAC or BPN:</w:t>
            </w:r>
          </w:p>
        </w:tc>
        <w:tc>
          <w:tcPr>
            <w:tcW w:w="2337" w:type="dxa"/>
            <w:shd w:val="clear" w:color="auto" w:fill="DEEAF6" w:themeFill="accent1" w:themeFillTint="33"/>
          </w:tcPr>
          <w:p w14:paraId="1523AE51" w14:textId="77777777" w:rsidR="007841C9" w:rsidRDefault="007841C9" w:rsidP="007841C9"/>
        </w:tc>
        <w:tc>
          <w:tcPr>
            <w:tcW w:w="2338" w:type="dxa"/>
          </w:tcPr>
          <w:p w14:paraId="14E31020" w14:textId="77777777" w:rsidR="007841C9" w:rsidRDefault="007841C9" w:rsidP="007841C9">
            <w:r>
              <w:t>Phone Comm/DSN:</w:t>
            </w:r>
          </w:p>
        </w:tc>
        <w:tc>
          <w:tcPr>
            <w:tcW w:w="2338" w:type="dxa"/>
            <w:shd w:val="clear" w:color="auto" w:fill="DEEAF6" w:themeFill="accent1" w:themeFillTint="33"/>
          </w:tcPr>
          <w:p w14:paraId="65EE6607" w14:textId="77777777" w:rsidR="007841C9" w:rsidRDefault="007841C9" w:rsidP="007841C9"/>
        </w:tc>
      </w:tr>
      <w:tr w:rsidR="00E35A5C" w14:paraId="0637C7D7" w14:textId="77777777" w:rsidTr="00C94776">
        <w:tc>
          <w:tcPr>
            <w:tcW w:w="2337" w:type="dxa"/>
          </w:tcPr>
          <w:p w14:paraId="24E76CD5" w14:textId="77777777" w:rsidR="00E35A5C" w:rsidRDefault="00E35A5C" w:rsidP="007841C9">
            <w:r>
              <w:t>Address:</w:t>
            </w:r>
          </w:p>
        </w:tc>
        <w:tc>
          <w:tcPr>
            <w:tcW w:w="7013" w:type="dxa"/>
            <w:gridSpan w:val="3"/>
            <w:shd w:val="clear" w:color="auto" w:fill="DEEAF6" w:themeFill="accent1" w:themeFillTint="33"/>
          </w:tcPr>
          <w:p w14:paraId="5D46F527" w14:textId="24939DEF" w:rsidR="00E35A5C" w:rsidRDefault="00E35A5C" w:rsidP="007841C9"/>
        </w:tc>
      </w:tr>
    </w:tbl>
    <w:p w14:paraId="24FA4173" w14:textId="05DE7C21" w:rsidR="00D310BA" w:rsidRPr="00106294" w:rsidRDefault="0000523A" w:rsidP="00BA2FF7">
      <w:pPr>
        <w:pStyle w:val="Heading1"/>
        <w:ind w:left="547" w:hanging="547"/>
        <w:rPr>
          <w:sz w:val="20"/>
          <w:szCs w:val="20"/>
        </w:rPr>
      </w:pPr>
      <w:r w:rsidRPr="00BA2FF7">
        <w:t>Milestone</w:t>
      </w:r>
      <w:r w:rsidRPr="00106294">
        <w:rPr>
          <w:sz w:val="20"/>
          <w:szCs w:val="20"/>
        </w:rPr>
        <w:t xml:space="preserve"> </w:t>
      </w:r>
      <w:r w:rsidR="008C6BAE">
        <w:rPr>
          <w:sz w:val="20"/>
          <w:szCs w:val="20"/>
        </w:rPr>
        <w:t xml:space="preserve">calculator </w:t>
      </w:r>
      <w:r w:rsidRPr="00A76885">
        <w:rPr>
          <w:szCs w:val="22"/>
        </w:rPr>
        <w:t xml:space="preserve">(Notional Timeline - </w:t>
      </w:r>
      <w:r w:rsidR="00606772" w:rsidRPr="00A76885">
        <w:rPr>
          <w:szCs w:val="22"/>
        </w:rPr>
        <w:t xml:space="preserve">Starts when the PWS, NTB, IGCE, </w:t>
      </w:r>
      <w:r w:rsidRPr="00A76885">
        <w:rPr>
          <w:szCs w:val="22"/>
        </w:rPr>
        <w:t>DD254 w</w:t>
      </w:r>
      <w:r w:rsidR="008C6BAE">
        <w:rPr>
          <w:szCs w:val="22"/>
        </w:rPr>
        <w:t xml:space="preserve">ith </w:t>
      </w:r>
      <w:r w:rsidRPr="00A76885">
        <w:rPr>
          <w:szCs w:val="22"/>
        </w:rPr>
        <w:t>SSO Concurrence</w:t>
      </w:r>
      <w:r w:rsidR="00431354">
        <w:rPr>
          <w:szCs w:val="22"/>
        </w:rPr>
        <w:t>,</w:t>
      </w:r>
      <w:r w:rsidRPr="00A76885">
        <w:rPr>
          <w:szCs w:val="22"/>
        </w:rPr>
        <w:t xml:space="preserve"> and Support Agreement (7600A)</w:t>
      </w:r>
      <w:r w:rsidR="009A673C" w:rsidRPr="00A76885">
        <w:rPr>
          <w:szCs w:val="22"/>
        </w:rPr>
        <w:t xml:space="preserve"> are completed and an initial request for contracting review has been requested</w:t>
      </w:r>
      <w:r w:rsidRPr="00A76885">
        <w:rPr>
          <w:szCs w:val="22"/>
        </w:rPr>
        <w:t>)</w:t>
      </w:r>
    </w:p>
    <w:p w14:paraId="2FAD910D" w14:textId="1CF456E9" w:rsidR="00606772" w:rsidRDefault="002759CE" w:rsidP="00106294">
      <w:pPr>
        <w:jc w:val="center"/>
      </w:pPr>
      <w:r>
        <w:br/>
      </w:r>
      <w:r w:rsidR="009C65E2" w:rsidRPr="00926E90">
        <w:rPr>
          <w:i/>
        </w:rPr>
        <w:t>(</w:t>
      </w:r>
      <w:r w:rsidR="00431354">
        <w:rPr>
          <w:i/>
        </w:rPr>
        <w:t>Customer Support Cell (</w:t>
      </w:r>
      <w:r w:rsidR="009C65E2" w:rsidRPr="00926E90">
        <w:rPr>
          <w:i/>
        </w:rPr>
        <w:t>CSC</w:t>
      </w:r>
      <w:r w:rsidR="00431354">
        <w:rPr>
          <w:i/>
        </w:rPr>
        <w:t>)</w:t>
      </w:r>
      <w:r w:rsidR="009C65E2" w:rsidRPr="00926E90">
        <w:rPr>
          <w:i/>
        </w:rPr>
        <w:t xml:space="preserve"> will complete this section)</w:t>
      </w:r>
      <w:r w:rsidR="009C65E2" w:rsidRPr="00926E90">
        <w:rPr>
          <w:i/>
        </w:rPr>
        <w:br/>
      </w:r>
      <w:r w:rsidR="00177343">
        <w:object w:dxaOrig="7805" w:dyaOrig="3660" w14:anchorId="64B6E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182.95pt" o:ole="">
            <v:imagedata r:id="rId10" o:title=""/>
          </v:shape>
          <o:OLEObject Type="Embed" ProgID="Excel.Sheet.12" ShapeID="_x0000_i1025" DrawAspect="Content" ObjectID="_1634034598" r:id="rId11"/>
        </w:object>
      </w:r>
    </w:p>
    <w:p w14:paraId="30A26302" w14:textId="7180058B" w:rsidR="004868A1" w:rsidRPr="00106294" w:rsidRDefault="004868A1" w:rsidP="004868A1">
      <w:pPr>
        <w:pStyle w:val="Heading1"/>
        <w:ind w:left="547" w:hanging="547"/>
        <w:rPr>
          <w:sz w:val="20"/>
          <w:szCs w:val="20"/>
        </w:rPr>
      </w:pPr>
      <w:r>
        <w:t>COORDINATION</w:t>
      </w:r>
      <w:r w:rsidR="00FE10D4">
        <w:t xml:space="preserve"> and </w:t>
      </w:r>
      <w:r>
        <w:t>APPROVAL</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4500"/>
        <w:gridCol w:w="3510"/>
      </w:tblGrid>
      <w:tr w:rsidR="004868A1" w14:paraId="1159445E" w14:textId="77777777" w:rsidTr="00597C50">
        <w:trPr>
          <w:trHeight w:hRule="exact" w:val="1176"/>
        </w:trPr>
        <w:tc>
          <w:tcPr>
            <w:tcW w:w="1350" w:type="dxa"/>
          </w:tcPr>
          <w:p w14:paraId="60BD21E9" w14:textId="77777777"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Date</w:t>
            </w:r>
          </w:p>
        </w:tc>
        <w:tc>
          <w:tcPr>
            <w:tcW w:w="4500" w:type="dxa"/>
          </w:tcPr>
          <w:p w14:paraId="52CACDD9" w14:textId="77777777" w:rsidR="00597C50" w:rsidRPr="007408BB" w:rsidRDefault="004868A1" w:rsidP="00597C50">
            <w:pPr>
              <w:pStyle w:val="TableParagraph"/>
              <w:spacing w:before="25" w:line="266" w:lineRule="auto"/>
              <w:ind w:right="178"/>
              <w:rPr>
                <w:rFonts w:ascii="Times New Roman" w:hAnsi="Times New Roman" w:cs="Times New Roman"/>
                <w:w w:val="99"/>
              </w:rPr>
            </w:pPr>
            <w:r w:rsidRPr="007408BB">
              <w:rPr>
                <w:rFonts w:ascii="Times New Roman" w:hAnsi="Times New Roman" w:cs="Times New Roman"/>
                <w:w w:val="95"/>
              </w:rPr>
              <w:t>Program Manager/</w:t>
            </w:r>
            <w:r w:rsidRPr="007408BB">
              <w:rPr>
                <w:rFonts w:ascii="Times New Roman" w:hAnsi="Times New Roman" w:cs="Times New Roman"/>
                <w:spacing w:val="-44"/>
              </w:rPr>
              <w:t xml:space="preserve"> </w:t>
            </w:r>
            <w:r w:rsidRPr="007408BB">
              <w:rPr>
                <w:rFonts w:ascii="Times New Roman" w:hAnsi="Times New Roman" w:cs="Times New Roman"/>
              </w:rPr>
              <w:t>Requiring</w:t>
            </w:r>
            <w:r w:rsidRPr="007408BB">
              <w:rPr>
                <w:rFonts w:ascii="Times New Roman" w:hAnsi="Times New Roman" w:cs="Times New Roman"/>
                <w:spacing w:val="-44"/>
              </w:rPr>
              <w:t xml:space="preserve">  </w:t>
            </w:r>
            <w:r w:rsidRPr="007408BB">
              <w:rPr>
                <w:rFonts w:ascii="Times New Roman" w:hAnsi="Times New Roman" w:cs="Times New Roman"/>
              </w:rPr>
              <w:t>Activity</w:t>
            </w:r>
            <w:r w:rsidRPr="007408BB">
              <w:rPr>
                <w:rFonts w:ascii="Times New Roman" w:hAnsi="Times New Roman" w:cs="Times New Roman"/>
                <w:w w:val="99"/>
              </w:rPr>
              <w:t xml:space="preserve"> </w:t>
            </w:r>
          </w:p>
          <w:p w14:paraId="4947CE61" w14:textId="77777777" w:rsidR="004868A1" w:rsidRPr="007408BB" w:rsidRDefault="004868A1" w:rsidP="00597C50">
            <w:pPr>
              <w:pStyle w:val="TableParagraph"/>
              <w:spacing w:before="25" w:line="266" w:lineRule="auto"/>
              <w:ind w:right="178"/>
              <w:rPr>
                <w:rFonts w:ascii="Times New Roman" w:hAnsi="Times New Roman" w:cs="Times New Roman"/>
              </w:rPr>
            </w:pPr>
            <w:r w:rsidRPr="007408BB">
              <w:rPr>
                <w:rFonts w:ascii="Times New Roman" w:hAnsi="Times New Roman" w:cs="Times New Roman"/>
              </w:rPr>
              <w:t>[</w:t>
            </w:r>
            <w:r w:rsidRPr="007408BB">
              <w:rPr>
                <w:rFonts w:ascii="Times New Roman" w:hAnsi="Times New Roman" w:cs="Times New Roman"/>
                <w:spacing w:val="-35"/>
              </w:rPr>
              <w:t xml:space="preserve"> </w:t>
            </w:r>
            <w:r w:rsidRPr="007408BB">
              <w:rPr>
                <w:rFonts w:ascii="Times New Roman" w:hAnsi="Times New Roman" w:cs="Times New Roman"/>
              </w:rPr>
              <w:t>Name</w:t>
            </w:r>
            <w:r w:rsidRPr="007408BB">
              <w:rPr>
                <w:rFonts w:ascii="Times New Roman" w:hAnsi="Times New Roman" w:cs="Times New Roman"/>
                <w:spacing w:val="-35"/>
              </w:rPr>
              <w:t xml:space="preserve"> </w:t>
            </w:r>
            <w:r w:rsidRPr="007408BB">
              <w:rPr>
                <w:rFonts w:ascii="Times New Roman" w:hAnsi="Times New Roman" w:cs="Times New Roman"/>
              </w:rPr>
              <w:t>]</w:t>
            </w:r>
          </w:p>
          <w:p w14:paraId="62C54331" w14:textId="77777777" w:rsidR="00597C50" w:rsidRPr="007408BB" w:rsidRDefault="004868A1" w:rsidP="00C94776">
            <w:pPr>
              <w:pStyle w:val="TableParagraph"/>
              <w:spacing w:before="0" w:line="266" w:lineRule="auto"/>
              <w:ind w:right="1249"/>
              <w:rPr>
                <w:rFonts w:ascii="Times New Roman" w:hAnsi="Times New Roman" w:cs="Times New Roman"/>
              </w:rPr>
            </w:pPr>
            <w:r w:rsidRPr="007408BB">
              <w:rPr>
                <w:rFonts w:ascii="Times New Roman" w:hAnsi="Times New Roman" w:cs="Times New Roman"/>
              </w:rPr>
              <w:t>[</w:t>
            </w:r>
            <w:r w:rsidRPr="007408BB">
              <w:rPr>
                <w:rFonts w:ascii="Times New Roman" w:hAnsi="Times New Roman" w:cs="Times New Roman"/>
                <w:spacing w:val="-36"/>
              </w:rPr>
              <w:t xml:space="preserve"> </w:t>
            </w:r>
            <w:r w:rsidRPr="007408BB">
              <w:rPr>
                <w:rFonts w:ascii="Times New Roman" w:hAnsi="Times New Roman" w:cs="Times New Roman"/>
              </w:rPr>
              <w:t>Organization</w:t>
            </w:r>
            <w:r w:rsidRPr="007408BB">
              <w:rPr>
                <w:rFonts w:ascii="Times New Roman" w:hAnsi="Times New Roman" w:cs="Times New Roman"/>
                <w:spacing w:val="-36"/>
              </w:rPr>
              <w:t xml:space="preserve"> </w:t>
            </w:r>
            <w:r w:rsidRPr="007408BB">
              <w:rPr>
                <w:rFonts w:ascii="Times New Roman" w:hAnsi="Times New Roman" w:cs="Times New Roman"/>
              </w:rPr>
              <w:t>/</w:t>
            </w:r>
            <w:r w:rsidRPr="007408BB">
              <w:rPr>
                <w:rFonts w:ascii="Times New Roman" w:hAnsi="Times New Roman" w:cs="Times New Roman"/>
                <w:spacing w:val="-36"/>
              </w:rPr>
              <w:t xml:space="preserve"> </w:t>
            </w:r>
            <w:r w:rsidRPr="007408BB">
              <w:rPr>
                <w:rFonts w:ascii="Times New Roman" w:hAnsi="Times New Roman" w:cs="Times New Roman"/>
              </w:rPr>
              <w:t>Phone</w:t>
            </w:r>
            <w:r w:rsidRPr="007408BB">
              <w:rPr>
                <w:rFonts w:ascii="Times New Roman" w:hAnsi="Times New Roman" w:cs="Times New Roman"/>
                <w:spacing w:val="-36"/>
              </w:rPr>
              <w:t xml:space="preserve"> </w:t>
            </w:r>
            <w:r w:rsidRPr="007408BB">
              <w:rPr>
                <w:rFonts w:ascii="Times New Roman" w:hAnsi="Times New Roman" w:cs="Times New Roman"/>
              </w:rPr>
              <w:t>Number</w:t>
            </w:r>
            <w:r w:rsidRPr="007408BB">
              <w:rPr>
                <w:rFonts w:ascii="Times New Roman" w:hAnsi="Times New Roman" w:cs="Times New Roman"/>
                <w:spacing w:val="-36"/>
              </w:rPr>
              <w:t xml:space="preserve"> </w:t>
            </w:r>
            <w:r w:rsidRPr="007408BB">
              <w:rPr>
                <w:rFonts w:ascii="Times New Roman" w:hAnsi="Times New Roman" w:cs="Times New Roman"/>
              </w:rPr>
              <w:t xml:space="preserve">] </w:t>
            </w:r>
          </w:p>
          <w:p w14:paraId="44AF947A" w14:textId="77777777" w:rsidR="004868A1" w:rsidRPr="007408BB" w:rsidRDefault="004868A1" w:rsidP="00C94776">
            <w:pPr>
              <w:pStyle w:val="TableParagraph"/>
              <w:spacing w:before="0" w:line="266" w:lineRule="auto"/>
              <w:ind w:right="1249"/>
              <w:rPr>
                <w:rFonts w:ascii="Times New Roman" w:hAnsi="Times New Roman" w:cs="Times New Roman"/>
              </w:rPr>
            </w:pPr>
            <w:r w:rsidRPr="007408BB">
              <w:rPr>
                <w:rFonts w:ascii="Times New Roman" w:hAnsi="Times New Roman" w:cs="Times New Roman"/>
              </w:rPr>
              <w:t>[</w:t>
            </w:r>
            <w:r w:rsidRPr="007408BB">
              <w:rPr>
                <w:rFonts w:ascii="Times New Roman" w:hAnsi="Times New Roman" w:cs="Times New Roman"/>
                <w:spacing w:val="-39"/>
              </w:rPr>
              <w:t xml:space="preserve"> </w:t>
            </w:r>
            <w:r w:rsidRPr="007408BB">
              <w:rPr>
                <w:rFonts w:ascii="Times New Roman" w:hAnsi="Times New Roman" w:cs="Times New Roman"/>
              </w:rPr>
              <w:t>Email</w:t>
            </w:r>
            <w:r w:rsidRPr="007408BB">
              <w:rPr>
                <w:rFonts w:ascii="Times New Roman" w:hAnsi="Times New Roman" w:cs="Times New Roman"/>
                <w:spacing w:val="-39"/>
              </w:rPr>
              <w:t xml:space="preserve"> </w:t>
            </w:r>
            <w:r w:rsidRPr="007408BB">
              <w:rPr>
                <w:rFonts w:ascii="Times New Roman" w:hAnsi="Times New Roman" w:cs="Times New Roman"/>
              </w:rPr>
              <w:t>]</w:t>
            </w:r>
          </w:p>
        </w:tc>
        <w:tc>
          <w:tcPr>
            <w:tcW w:w="3510" w:type="dxa"/>
          </w:tcPr>
          <w:p w14:paraId="1EDFF8D2" w14:textId="77777777"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Signature</w:t>
            </w:r>
          </w:p>
        </w:tc>
      </w:tr>
      <w:tr w:rsidR="004868A1" w14:paraId="70A99FDE" w14:textId="77777777" w:rsidTr="00597C50">
        <w:trPr>
          <w:trHeight w:hRule="exact" w:val="1176"/>
        </w:trPr>
        <w:tc>
          <w:tcPr>
            <w:tcW w:w="1350" w:type="dxa"/>
          </w:tcPr>
          <w:p w14:paraId="28A086D8" w14:textId="77777777"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Date</w:t>
            </w:r>
          </w:p>
        </w:tc>
        <w:tc>
          <w:tcPr>
            <w:tcW w:w="4500" w:type="dxa"/>
          </w:tcPr>
          <w:p w14:paraId="3161C4E4" w14:textId="77777777" w:rsidR="00597C50" w:rsidRPr="007408BB" w:rsidRDefault="004868A1" w:rsidP="004868A1">
            <w:pPr>
              <w:pStyle w:val="TableParagraph"/>
              <w:spacing w:before="25" w:line="266" w:lineRule="auto"/>
              <w:ind w:right="2481"/>
              <w:rPr>
                <w:rFonts w:ascii="Times New Roman" w:hAnsi="Times New Roman" w:cs="Times New Roman"/>
                <w:w w:val="95"/>
              </w:rPr>
            </w:pPr>
            <w:r w:rsidRPr="007408BB">
              <w:rPr>
                <w:rFonts w:ascii="Times New Roman" w:hAnsi="Times New Roman" w:cs="Times New Roman"/>
                <w:w w:val="95"/>
              </w:rPr>
              <w:t xml:space="preserve">Contracting Officer </w:t>
            </w:r>
          </w:p>
          <w:p w14:paraId="0ECB300E" w14:textId="77777777" w:rsidR="004868A1" w:rsidRPr="007408BB" w:rsidRDefault="004868A1" w:rsidP="004868A1">
            <w:pPr>
              <w:pStyle w:val="TableParagraph"/>
              <w:spacing w:before="25" w:line="266" w:lineRule="auto"/>
              <w:ind w:right="2481"/>
              <w:rPr>
                <w:rFonts w:ascii="Times New Roman" w:hAnsi="Times New Roman" w:cs="Times New Roman"/>
                <w:w w:val="95"/>
              </w:rPr>
            </w:pPr>
            <w:r w:rsidRPr="007408BB">
              <w:rPr>
                <w:rFonts w:ascii="Times New Roman" w:hAnsi="Times New Roman" w:cs="Times New Roman"/>
                <w:w w:val="95"/>
              </w:rPr>
              <w:t>[ Name ]</w:t>
            </w:r>
          </w:p>
          <w:p w14:paraId="23FF38AB" w14:textId="77777777" w:rsidR="004868A1" w:rsidRPr="007408BB" w:rsidRDefault="004868A1" w:rsidP="004868A1">
            <w:pPr>
              <w:pStyle w:val="TableParagraph"/>
              <w:spacing w:before="27"/>
              <w:rPr>
                <w:rFonts w:ascii="Times New Roman" w:hAnsi="Times New Roman" w:cs="Times New Roman"/>
                <w:w w:val="95"/>
              </w:rPr>
            </w:pPr>
            <w:r w:rsidRPr="007408BB">
              <w:rPr>
                <w:rFonts w:ascii="Times New Roman" w:hAnsi="Times New Roman" w:cs="Times New Roman"/>
                <w:w w:val="95"/>
              </w:rPr>
              <w:t xml:space="preserve">[ Organization / Phone Number ] </w:t>
            </w:r>
          </w:p>
          <w:p w14:paraId="112DB8B6" w14:textId="77777777" w:rsidR="004868A1" w:rsidRPr="007408BB" w:rsidRDefault="004868A1" w:rsidP="004868A1">
            <w:pPr>
              <w:pStyle w:val="TableParagraph"/>
              <w:spacing w:before="27"/>
              <w:rPr>
                <w:rFonts w:ascii="Times New Roman" w:hAnsi="Times New Roman" w:cs="Times New Roman"/>
              </w:rPr>
            </w:pPr>
            <w:r w:rsidRPr="007408BB">
              <w:rPr>
                <w:rFonts w:ascii="Times New Roman" w:hAnsi="Times New Roman" w:cs="Times New Roman"/>
                <w:w w:val="95"/>
              </w:rPr>
              <w:t>[ Email ]</w:t>
            </w:r>
          </w:p>
        </w:tc>
        <w:tc>
          <w:tcPr>
            <w:tcW w:w="3510" w:type="dxa"/>
          </w:tcPr>
          <w:p w14:paraId="2213E7A0" w14:textId="77777777" w:rsidR="004868A1" w:rsidRPr="007408BB" w:rsidRDefault="004868A1" w:rsidP="00C94776">
            <w:pPr>
              <w:pStyle w:val="TableParagraph"/>
              <w:ind w:left="67"/>
              <w:rPr>
                <w:rFonts w:ascii="Times New Roman" w:hAnsi="Times New Roman" w:cs="Times New Roman"/>
              </w:rPr>
            </w:pPr>
            <w:r w:rsidRPr="007408BB">
              <w:rPr>
                <w:rFonts w:ascii="Times New Roman" w:hAnsi="Times New Roman" w:cs="Times New Roman"/>
              </w:rPr>
              <w:t>Signature</w:t>
            </w:r>
          </w:p>
        </w:tc>
      </w:tr>
    </w:tbl>
    <w:p w14:paraId="3666F113" w14:textId="77777777" w:rsidR="00A862BC" w:rsidRDefault="00A862BC">
      <w:r>
        <w:br w:type="page"/>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07"/>
      </w:tblGrid>
      <w:tr w:rsidR="002759CE" w:rsidRPr="00D208B2" w14:paraId="18A7DF1C" w14:textId="77777777" w:rsidTr="00597C50">
        <w:trPr>
          <w:trHeight w:val="1025"/>
        </w:trPr>
        <w:tc>
          <w:tcPr>
            <w:tcW w:w="5000" w:type="pct"/>
            <w:gridSpan w:val="2"/>
            <w:vAlign w:val="center"/>
          </w:tcPr>
          <w:p w14:paraId="263B2F42" w14:textId="77777777" w:rsidR="002759CE" w:rsidRDefault="002759CE" w:rsidP="008C4F1E">
            <w:pPr>
              <w:pStyle w:val="BodyText"/>
              <w:spacing w:before="240"/>
              <w:rPr>
                <w:b/>
                <w:sz w:val="22"/>
                <w:szCs w:val="22"/>
              </w:rPr>
            </w:pPr>
            <w:r>
              <w:rPr>
                <w:b/>
                <w:sz w:val="22"/>
                <w:szCs w:val="22"/>
              </w:rPr>
              <w:t>ATTACHMENTS:</w:t>
            </w:r>
          </w:p>
          <w:p w14:paraId="4790CA26" w14:textId="77777777" w:rsidR="002759CE" w:rsidRPr="00D208B2" w:rsidRDefault="002759CE" w:rsidP="008C4F1E">
            <w:pPr>
              <w:pStyle w:val="BodyText"/>
              <w:spacing w:before="240"/>
              <w:rPr>
                <w:b/>
                <w:sz w:val="22"/>
                <w:szCs w:val="22"/>
              </w:rPr>
            </w:pPr>
            <w:r w:rsidRPr="00D208B2">
              <w:rPr>
                <w:b/>
                <w:sz w:val="22"/>
                <w:szCs w:val="22"/>
              </w:rPr>
              <w:t>Needed with this NTB:</w:t>
            </w:r>
          </w:p>
        </w:tc>
      </w:tr>
      <w:tr w:rsidR="002759CE" w:rsidRPr="00D208B2" w14:paraId="1E480090" w14:textId="77777777" w:rsidTr="00A76885">
        <w:trPr>
          <w:trHeight w:val="80"/>
        </w:trPr>
        <w:sdt>
          <w:sdtPr>
            <w:rPr>
              <w:sz w:val="22"/>
              <w:szCs w:val="22"/>
            </w:rPr>
            <w:id w:val="-1411762878"/>
            <w14:checkbox>
              <w14:checked w14:val="0"/>
              <w14:checkedState w14:val="2612" w14:font="MS Gothic"/>
              <w14:uncheckedState w14:val="2610" w14:font="MS Gothic"/>
            </w14:checkbox>
          </w:sdtPr>
          <w:sdtEndPr/>
          <w:sdtContent>
            <w:tc>
              <w:tcPr>
                <w:tcW w:w="233" w:type="pct"/>
              </w:tcPr>
              <w:p w14:paraId="7B26FDB3" w14:textId="77777777"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14:paraId="21DFB5A3" w14:textId="77777777" w:rsidR="002759CE" w:rsidRPr="00D208B2" w:rsidRDefault="002759CE" w:rsidP="00713AEE">
            <w:pPr>
              <w:pStyle w:val="BodyText"/>
              <w:spacing w:after="0"/>
              <w:ind w:right="1284"/>
              <w:rPr>
                <w:sz w:val="22"/>
                <w:szCs w:val="22"/>
              </w:rPr>
            </w:pPr>
            <w:r w:rsidRPr="00D208B2">
              <w:rPr>
                <w:sz w:val="22"/>
                <w:szCs w:val="22"/>
              </w:rPr>
              <w:t>Performance Work Statement (PWS) (Use template)</w:t>
            </w:r>
          </w:p>
        </w:tc>
      </w:tr>
      <w:tr w:rsidR="002759CE" w:rsidRPr="00D208B2" w14:paraId="359AFF99" w14:textId="77777777" w:rsidTr="00A76885">
        <w:trPr>
          <w:trHeight w:val="80"/>
        </w:trPr>
        <w:sdt>
          <w:sdtPr>
            <w:rPr>
              <w:sz w:val="22"/>
              <w:szCs w:val="22"/>
            </w:rPr>
            <w:id w:val="-1918315208"/>
            <w14:checkbox>
              <w14:checked w14:val="0"/>
              <w14:checkedState w14:val="2612" w14:font="MS Gothic"/>
              <w14:uncheckedState w14:val="2610" w14:font="MS Gothic"/>
            </w14:checkbox>
          </w:sdtPr>
          <w:sdtEndPr/>
          <w:sdtContent>
            <w:tc>
              <w:tcPr>
                <w:tcW w:w="233" w:type="pct"/>
              </w:tcPr>
              <w:p w14:paraId="4B4A5FB1" w14:textId="77777777"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14:paraId="7F45D8CC" w14:textId="77777777" w:rsidR="002759CE" w:rsidRPr="00D208B2" w:rsidRDefault="002759CE" w:rsidP="00713AEE">
            <w:pPr>
              <w:pStyle w:val="BodyText"/>
              <w:spacing w:after="0"/>
              <w:rPr>
                <w:sz w:val="22"/>
                <w:szCs w:val="22"/>
              </w:rPr>
            </w:pPr>
            <w:r w:rsidRPr="00D208B2">
              <w:rPr>
                <w:sz w:val="22"/>
                <w:szCs w:val="22"/>
              </w:rPr>
              <w:t>Independent Government Cost Estimate (IGCE) (Use template)</w:t>
            </w:r>
          </w:p>
        </w:tc>
      </w:tr>
      <w:tr w:rsidR="002759CE" w:rsidRPr="00D208B2" w14:paraId="6A92222A" w14:textId="77777777" w:rsidTr="00A76885">
        <w:trPr>
          <w:trHeight w:val="80"/>
        </w:trPr>
        <w:sdt>
          <w:sdtPr>
            <w:rPr>
              <w:sz w:val="22"/>
              <w:szCs w:val="22"/>
            </w:rPr>
            <w:id w:val="1119874890"/>
            <w14:checkbox>
              <w14:checked w14:val="0"/>
              <w14:checkedState w14:val="2612" w14:font="MS Gothic"/>
              <w14:uncheckedState w14:val="2610" w14:font="MS Gothic"/>
            </w14:checkbox>
          </w:sdtPr>
          <w:sdtEndPr/>
          <w:sdtContent>
            <w:tc>
              <w:tcPr>
                <w:tcW w:w="233" w:type="pct"/>
              </w:tcPr>
              <w:p w14:paraId="164C633B" w14:textId="77777777"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14:paraId="0B878F53" w14:textId="62E61477" w:rsidR="002759CE" w:rsidRPr="00D208B2" w:rsidRDefault="002759CE" w:rsidP="00713AEE">
            <w:pPr>
              <w:pStyle w:val="BodyText"/>
              <w:spacing w:after="0"/>
              <w:rPr>
                <w:sz w:val="22"/>
                <w:szCs w:val="22"/>
              </w:rPr>
            </w:pPr>
            <w:r w:rsidRPr="00D208B2">
              <w:rPr>
                <w:sz w:val="22"/>
                <w:szCs w:val="22"/>
              </w:rPr>
              <w:t>Interagency Agreement (IAA) General Terms and Conditions (GT&amp;C) (7600A)</w:t>
            </w:r>
            <w:r w:rsidR="004E3887">
              <w:rPr>
                <w:sz w:val="22"/>
                <w:szCs w:val="22"/>
              </w:rPr>
              <w:t xml:space="preserve">-DRAFT </w:t>
            </w:r>
          </w:p>
        </w:tc>
      </w:tr>
      <w:tr w:rsidR="002759CE" w:rsidRPr="00D208B2" w14:paraId="3B50B3F9" w14:textId="77777777" w:rsidTr="00A76885">
        <w:trPr>
          <w:trHeight w:val="80"/>
        </w:trPr>
        <w:sdt>
          <w:sdtPr>
            <w:rPr>
              <w:sz w:val="22"/>
              <w:szCs w:val="22"/>
            </w:rPr>
            <w:id w:val="1734043244"/>
            <w14:checkbox>
              <w14:checked w14:val="0"/>
              <w14:checkedState w14:val="2612" w14:font="MS Gothic"/>
              <w14:uncheckedState w14:val="2610" w14:font="MS Gothic"/>
            </w14:checkbox>
          </w:sdtPr>
          <w:sdtEndPr/>
          <w:sdtContent>
            <w:tc>
              <w:tcPr>
                <w:tcW w:w="233" w:type="pct"/>
              </w:tcPr>
              <w:p w14:paraId="03359C3F" w14:textId="77777777" w:rsidR="002759CE" w:rsidRPr="00D208B2" w:rsidRDefault="002759CE" w:rsidP="00713AEE">
                <w:pPr>
                  <w:pStyle w:val="BodyText"/>
                  <w:spacing w:after="0"/>
                  <w:rPr>
                    <w:sz w:val="22"/>
                    <w:szCs w:val="22"/>
                  </w:rPr>
                </w:pPr>
                <w:r w:rsidRPr="00D208B2">
                  <w:rPr>
                    <w:rFonts w:ascii="Segoe UI Symbol" w:eastAsia="MS Gothic" w:hAnsi="Segoe UI Symbol" w:cs="Segoe UI Symbol"/>
                    <w:sz w:val="22"/>
                    <w:szCs w:val="22"/>
                  </w:rPr>
                  <w:t>☐</w:t>
                </w:r>
              </w:p>
            </w:tc>
          </w:sdtContent>
        </w:sdt>
        <w:tc>
          <w:tcPr>
            <w:tcW w:w="4767" w:type="pct"/>
            <w:vAlign w:val="center"/>
          </w:tcPr>
          <w:p w14:paraId="3AB7E172" w14:textId="77777777" w:rsidR="002759CE" w:rsidRPr="00D208B2" w:rsidRDefault="002759CE" w:rsidP="00713AEE">
            <w:pPr>
              <w:pStyle w:val="BodyText"/>
              <w:spacing w:after="0"/>
              <w:rPr>
                <w:sz w:val="22"/>
                <w:szCs w:val="22"/>
              </w:rPr>
            </w:pPr>
            <w:r w:rsidRPr="00D208B2">
              <w:rPr>
                <w:sz w:val="22"/>
                <w:szCs w:val="22"/>
              </w:rPr>
              <w:t>TO-unique DD Form 254 and RA SSO email concurrence</w:t>
            </w:r>
            <w:r w:rsidR="004E3887">
              <w:rPr>
                <w:sz w:val="22"/>
                <w:szCs w:val="22"/>
              </w:rPr>
              <w:t>-DRAFT</w:t>
            </w:r>
          </w:p>
        </w:tc>
      </w:tr>
      <w:tr w:rsidR="002759CE" w:rsidRPr="00D208B2" w14:paraId="229DDBF2" w14:textId="77777777" w:rsidTr="00DF2FA7">
        <w:trPr>
          <w:trHeight w:val="296"/>
        </w:trPr>
        <w:tc>
          <w:tcPr>
            <w:tcW w:w="5000" w:type="pct"/>
            <w:gridSpan w:val="2"/>
            <w:vAlign w:val="center"/>
          </w:tcPr>
          <w:p w14:paraId="221534F8" w14:textId="07FC5A73" w:rsidR="002759CE" w:rsidRPr="00D208B2" w:rsidRDefault="002759CE" w:rsidP="00DF2FA7">
            <w:pPr>
              <w:pStyle w:val="BodyText"/>
              <w:spacing w:before="240"/>
              <w:rPr>
                <w:b/>
                <w:sz w:val="22"/>
                <w:szCs w:val="22"/>
              </w:rPr>
            </w:pPr>
            <w:r w:rsidRPr="00D208B2">
              <w:rPr>
                <w:b/>
                <w:sz w:val="22"/>
                <w:szCs w:val="22"/>
              </w:rPr>
              <w:t xml:space="preserve">Needed prior to </w:t>
            </w:r>
            <w:r w:rsidR="00431354">
              <w:rPr>
                <w:b/>
                <w:sz w:val="22"/>
                <w:szCs w:val="22"/>
              </w:rPr>
              <w:t>Fair Opportunity Proposal Request (</w:t>
            </w:r>
            <w:r w:rsidRPr="00D208B2">
              <w:rPr>
                <w:b/>
                <w:sz w:val="22"/>
                <w:szCs w:val="22"/>
              </w:rPr>
              <w:t>FOPR</w:t>
            </w:r>
            <w:r w:rsidR="00431354">
              <w:rPr>
                <w:b/>
                <w:sz w:val="22"/>
                <w:szCs w:val="22"/>
              </w:rPr>
              <w:t>)</w:t>
            </w:r>
            <w:r w:rsidRPr="00D208B2">
              <w:rPr>
                <w:b/>
                <w:sz w:val="22"/>
                <w:szCs w:val="22"/>
              </w:rPr>
              <w:t xml:space="preserve"> release:</w:t>
            </w:r>
          </w:p>
        </w:tc>
      </w:tr>
      <w:tr w:rsidR="002759CE" w:rsidRPr="00D208B2" w14:paraId="2EC05AD4" w14:textId="77777777" w:rsidTr="00A862BC">
        <w:trPr>
          <w:trHeight w:val="248"/>
        </w:trPr>
        <w:sdt>
          <w:sdtPr>
            <w:rPr>
              <w:sz w:val="22"/>
              <w:szCs w:val="22"/>
            </w:rPr>
            <w:id w:val="-185595377"/>
            <w14:checkbox>
              <w14:checked w14:val="0"/>
              <w14:checkedState w14:val="2612" w14:font="MS Gothic"/>
              <w14:uncheckedState w14:val="2610" w14:font="MS Gothic"/>
            </w14:checkbox>
          </w:sdtPr>
          <w:sdtEndPr/>
          <w:sdtContent>
            <w:tc>
              <w:tcPr>
                <w:tcW w:w="233" w:type="pct"/>
                <w:vAlign w:val="center"/>
              </w:tcPr>
              <w:p w14:paraId="1D0BA231" w14:textId="77777777" w:rsidR="002759CE" w:rsidRPr="00D208B2" w:rsidRDefault="00DF2FA7" w:rsidP="00DF2FA7">
                <w:pPr>
                  <w:pStyle w:val="BodyText"/>
                  <w:spacing w:after="0"/>
                  <w:jc w:val="center"/>
                  <w:rPr>
                    <w:sz w:val="22"/>
                    <w:szCs w:val="22"/>
                  </w:rPr>
                </w:pPr>
                <w:r>
                  <w:rPr>
                    <w:rFonts w:ascii="MS Gothic" w:eastAsia="MS Gothic" w:hAnsi="MS Gothic" w:hint="eastAsia"/>
                    <w:sz w:val="22"/>
                    <w:szCs w:val="22"/>
                  </w:rPr>
                  <w:t>☐</w:t>
                </w:r>
              </w:p>
            </w:tc>
          </w:sdtContent>
        </w:sdt>
        <w:tc>
          <w:tcPr>
            <w:tcW w:w="4767" w:type="pct"/>
            <w:vAlign w:val="center"/>
          </w:tcPr>
          <w:p w14:paraId="6259EC05" w14:textId="77777777" w:rsidR="004E3887" w:rsidRPr="00D208B2" w:rsidRDefault="002759CE" w:rsidP="008C4F1E">
            <w:pPr>
              <w:pStyle w:val="BodyText"/>
              <w:spacing w:after="0"/>
              <w:rPr>
                <w:sz w:val="22"/>
                <w:szCs w:val="22"/>
              </w:rPr>
            </w:pPr>
            <w:r w:rsidRPr="00D208B2">
              <w:rPr>
                <w:sz w:val="22"/>
                <w:szCs w:val="22"/>
              </w:rPr>
              <w:t>Proposal Evaluation Plan</w:t>
            </w:r>
          </w:p>
        </w:tc>
      </w:tr>
      <w:tr w:rsidR="004E3887" w:rsidRPr="00D208B2" w14:paraId="5FE3C5DF" w14:textId="77777777" w:rsidTr="00A862BC">
        <w:trPr>
          <w:trHeight w:val="435"/>
        </w:trPr>
        <w:sdt>
          <w:sdtPr>
            <w:rPr>
              <w:sz w:val="22"/>
              <w:szCs w:val="22"/>
            </w:rPr>
            <w:id w:val="85427773"/>
            <w14:checkbox>
              <w14:checked w14:val="0"/>
              <w14:checkedState w14:val="2612" w14:font="MS Gothic"/>
              <w14:uncheckedState w14:val="2610" w14:font="MS Gothic"/>
            </w14:checkbox>
          </w:sdtPr>
          <w:sdtEndPr/>
          <w:sdtContent>
            <w:tc>
              <w:tcPr>
                <w:tcW w:w="233" w:type="pct"/>
              </w:tcPr>
              <w:p w14:paraId="246936C8" w14:textId="77777777" w:rsidR="004E3887" w:rsidRDefault="004E3887" w:rsidP="00DF2FA7">
                <w:pPr>
                  <w:pStyle w:val="BodyText"/>
                  <w:spacing w:after="0"/>
                  <w:rPr>
                    <w:sz w:val="22"/>
                    <w:szCs w:val="22"/>
                  </w:rPr>
                </w:pPr>
                <w:r>
                  <w:rPr>
                    <w:rFonts w:ascii="MS Gothic" w:eastAsia="MS Gothic" w:hAnsi="MS Gothic" w:hint="eastAsia"/>
                    <w:sz w:val="22"/>
                    <w:szCs w:val="22"/>
                  </w:rPr>
                  <w:t>☐</w:t>
                </w:r>
              </w:p>
            </w:tc>
          </w:sdtContent>
        </w:sdt>
        <w:tc>
          <w:tcPr>
            <w:tcW w:w="4767" w:type="pct"/>
            <w:vAlign w:val="center"/>
          </w:tcPr>
          <w:p w14:paraId="7367603C" w14:textId="77777777" w:rsidR="004E3887" w:rsidRPr="00D208B2" w:rsidRDefault="004E3887" w:rsidP="00DF2FA7">
            <w:pPr>
              <w:pStyle w:val="BodyText"/>
              <w:spacing w:after="0"/>
              <w:rPr>
                <w:sz w:val="22"/>
                <w:szCs w:val="22"/>
              </w:rPr>
            </w:pPr>
            <w:r w:rsidRPr="004E3887">
              <w:rPr>
                <w:sz w:val="22"/>
                <w:szCs w:val="22"/>
              </w:rPr>
              <w:t>Fully Executed Interagency Agreement (IAA) General Terms and Conditions (GT&amp;C) (7600A) prior to Business Clearance Request</w:t>
            </w:r>
          </w:p>
        </w:tc>
      </w:tr>
      <w:tr w:rsidR="004E3887" w:rsidRPr="00D208B2" w14:paraId="7D5A1A32" w14:textId="77777777" w:rsidTr="00A862BC">
        <w:trPr>
          <w:trHeight w:val="435"/>
        </w:trPr>
        <w:sdt>
          <w:sdtPr>
            <w:rPr>
              <w:sz w:val="22"/>
              <w:szCs w:val="22"/>
            </w:rPr>
            <w:id w:val="-1952620945"/>
            <w14:checkbox>
              <w14:checked w14:val="0"/>
              <w14:checkedState w14:val="2612" w14:font="MS Gothic"/>
              <w14:uncheckedState w14:val="2610" w14:font="MS Gothic"/>
            </w14:checkbox>
          </w:sdtPr>
          <w:sdtEndPr/>
          <w:sdtContent>
            <w:tc>
              <w:tcPr>
                <w:tcW w:w="233" w:type="pct"/>
              </w:tcPr>
              <w:p w14:paraId="402AE164" w14:textId="77777777" w:rsidR="004E3887" w:rsidRPr="00D208B2" w:rsidRDefault="00171F8A" w:rsidP="00DF2FA7">
                <w:pPr>
                  <w:pStyle w:val="BodyText"/>
                  <w:spacing w:after="0"/>
                  <w:rPr>
                    <w:sz w:val="22"/>
                    <w:szCs w:val="22"/>
                  </w:rPr>
                </w:pPr>
                <w:r>
                  <w:rPr>
                    <w:rFonts w:ascii="MS Gothic" w:eastAsia="MS Gothic" w:hAnsi="MS Gothic" w:hint="eastAsia"/>
                    <w:sz w:val="22"/>
                    <w:szCs w:val="22"/>
                  </w:rPr>
                  <w:t>☐</w:t>
                </w:r>
              </w:p>
            </w:tc>
          </w:sdtContent>
        </w:sdt>
        <w:tc>
          <w:tcPr>
            <w:tcW w:w="4767" w:type="pct"/>
            <w:vAlign w:val="center"/>
          </w:tcPr>
          <w:p w14:paraId="481589F3" w14:textId="2680DE35" w:rsidR="004E3887" w:rsidRPr="00D208B2" w:rsidRDefault="004E3887" w:rsidP="000D30EB">
            <w:pPr>
              <w:pStyle w:val="BodyText"/>
              <w:spacing w:after="0"/>
              <w:rPr>
                <w:sz w:val="22"/>
                <w:szCs w:val="22"/>
              </w:rPr>
            </w:pPr>
            <w:r w:rsidRPr="00D208B2">
              <w:rPr>
                <w:sz w:val="22"/>
                <w:szCs w:val="22"/>
              </w:rPr>
              <w:t xml:space="preserve">Funding Document(s) (7600B or Administrative Commitment Document).  See </w:t>
            </w:r>
            <w:r w:rsidR="00DF2FA7" w:rsidRPr="00A76885">
              <w:rPr>
                <w:sz w:val="22"/>
                <w:szCs w:val="22"/>
              </w:rPr>
              <w:t>https://dodiac.dtic.mil/resources/#templates</w:t>
            </w:r>
            <w:r w:rsidRPr="00A76885">
              <w:rPr>
                <w:sz w:val="22"/>
                <w:szCs w:val="22"/>
              </w:rPr>
              <w:t xml:space="preserve"> </w:t>
            </w:r>
            <w:r w:rsidRPr="00D208B2">
              <w:rPr>
                <w:sz w:val="22"/>
                <w:szCs w:val="22"/>
              </w:rPr>
              <w:t>for funding submittal instructions</w:t>
            </w:r>
            <w:r w:rsidR="00C72AFA">
              <w:rPr>
                <w:sz w:val="22"/>
                <w:szCs w:val="22"/>
              </w:rPr>
              <w:t>.</w:t>
            </w:r>
          </w:p>
        </w:tc>
      </w:tr>
    </w:tbl>
    <w:p w14:paraId="04ABF817" w14:textId="77777777" w:rsidR="00D310BA" w:rsidRPr="00D310BA" w:rsidRDefault="00D310BA" w:rsidP="00597C50"/>
    <w:sectPr w:rsidR="00D310BA" w:rsidRPr="00D310BA" w:rsidSect="00597C50">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425C" w14:textId="77777777" w:rsidR="004A1396" w:rsidRDefault="004A1396" w:rsidP="00BA49C6">
      <w:pPr>
        <w:spacing w:after="0" w:line="240" w:lineRule="auto"/>
      </w:pPr>
      <w:r>
        <w:separator/>
      </w:r>
    </w:p>
  </w:endnote>
  <w:endnote w:type="continuationSeparator" w:id="0">
    <w:p w14:paraId="4F6133F1" w14:textId="77777777" w:rsidR="004A1396" w:rsidRDefault="004A1396" w:rsidP="00BA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EE97" w14:textId="77777777" w:rsidR="00214CA9" w:rsidRDefault="00214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C42A" w14:textId="5EB5A424" w:rsidR="00C94776" w:rsidRDefault="00C94776">
    <w:pPr>
      <w:pStyle w:val="Footer"/>
      <w:rPr>
        <w:b/>
        <w:sz w:val="20"/>
        <w:szCs w:val="20"/>
      </w:rPr>
    </w:pPr>
    <w:r w:rsidRPr="00D310BA">
      <w:rPr>
        <w:b/>
        <w:sz w:val="20"/>
        <w:szCs w:val="20"/>
      </w:rPr>
      <w:t xml:space="preserve">Page </w:t>
    </w:r>
    <w:r w:rsidRPr="00D310BA">
      <w:rPr>
        <w:b/>
        <w:sz w:val="20"/>
        <w:szCs w:val="20"/>
      </w:rPr>
      <w:fldChar w:fldCharType="begin"/>
    </w:r>
    <w:r w:rsidRPr="00D310BA">
      <w:rPr>
        <w:b/>
        <w:sz w:val="20"/>
        <w:szCs w:val="20"/>
      </w:rPr>
      <w:instrText xml:space="preserve"> PAGE  \* Arabic  \* MERGEFORMAT </w:instrText>
    </w:r>
    <w:r w:rsidRPr="00D310BA">
      <w:rPr>
        <w:b/>
        <w:sz w:val="20"/>
        <w:szCs w:val="20"/>
      </w:rPr>
      <w:fldChar w:fldCharType="separate"/>
    </w:r>
    <w:r w:rsidR="00214CA9">
      <w:rPr>
        <w:b/>
        <w:noProof/>
        <w:sz w:val="20"/>
        <w:szCs w:val="20"/>
      </w:rPr>
      <w:t>4</w:t>
    </w:r>
    <w:r w:rsidRPr="00D310BA">
      <w:rPr>
        <w:b/>
        <w:sz w:val="20"/>
        <w:szCs w:val="20"/>
      </w:rPr>
      <w:fldChar w:fldCharType="end"/>
    </w:r>
    <w:r>
      <w:rPr>
        <w:b/>
        <w:sz w:val="20"/>
        <w:szCs w:val="20"/>
      </w:rPr>
      <w:t xml:space="preserve"> </w:t>
    </w:r>
    <w:r w:rsidRPr="00D310BA">
      <w:rPr>
        <w:b/>
        <w:sz w:val="20"/>
        <w:szCs w:val="20"/>
      </w:rPr>
      <w:t xml:space="preserve">of </w:t>
    </w:r>
    <w:r w:rsidRPr="00D310BA">
      <w:rPr>
        <w:b/>
        <w:sz w:val="20"/>
        <w:szCs w:val="20"/>
      </w:rPr>
      <w:fldChar w:fldCharType="begin"/>
    </w:r>
    <w:r w:rsidRPr="00D310BA">
      <w:rPr>
        <w:b/>
        <w:sz w:val="20"/>
        <w:szCs w:val="20"/>
      </w:rPr>
      <w:instrText xml:space="preserve"> NUMPAGES  \* Arabic  \* MERGEFORMAT </w:instrText>
    </w:r>
    <w:r w:rsidRPr="00D310BA">
      <w:rPr>
        <w:b/>
        <w:sz w:val="20"/>
        <w:szCs w:val="20"/>
      </w:rPr>
      <w:fldChar w:fldCharType="separate"/>
    </w:r>
    <w:r w:rsidR="00214CA9">
      <w:rPr>
        <w:b/>
        <w:noProof/>
        <w:sz w:val="20"/>
        <w:szCs w:val="20"/>
      </w:rPr>
      <w:t>11</w:t>
    </w:r>
    <w:r w:rsidRPr="00D310BA">
      <w:rPr>
        <w:b/>
        <w:sz w:val="20"/>
        <w:szCs w:val="20"/>
      </w:rPr>
      <w:fldChar w:fldCharType="end"/>
    </w:r>
    <w:r w:rsidRPr="00D310BA">
      <w:rPr>
        <w:b/>
        <w:sz w:val="20"/>
        <w:szCs w:val="20"/>
      </w:rPr>
      <w:ptab w:relativeTo="margin" w:alignment="center" w:leader="none"/>
    </w:r>
    <w:r w:rsidRPr="00D310BA">
      <w:rPr>
        <w:b/>
        <w:sz w:val="20"/>
        <w:szCs w:val="20"/>
      </w:rPr>
      <w:t>Source Selection Sensitive</w:t>
    </w:r>
    <w:r w:rsidRPr="00D310BA">
      <w:rPr>
        <w:b/>
        <w:sz w:val="20"/>
        <w:szCs w:val="20"/>
      </w:rPr>
      <w:ptab w:relativeTo="margin" w:alignment="right" w:leader="none"/>
    </w:r>
    <w:r w:rsidRPr="00D310BA">
      <w:rPr>
        <w:b/>
        <w:sz w:val="20"/>
        <w:szCs w:val="20"/>
      </w:rPr>
      <w:t>See FAR 3.104</w:t>
    </w:r>
  </w:p>
  <w:p w14:paraId="671A405E" w14:textId="77777777" w:rsidR="00C94776" w:rsidRDefault="00C94776" w:rsidP="006C67F6">
    <w:pPr>
      <w:pStyle w:val="Footer"/>
      <w:tabs>
        <w:tab w:val="clear" w:pos="4680"/>
        <w:tab w:val="clear" w:pos="9360"/>
        <w:tab w:val="left" w:pos="3600"/>
      </w:tabs>
      <w:jc w:val="center"/>
      <w:rPr>
        <w:b/>
        <w:sz w:val="20"/>
        <w:szCs w:val="20"/>
      </w:rPr>
    </w:pPr>
    <w:r>
      <w:rPr>
        <w:b/>
        <w:sz w:val="20"/>
        <w:szCs w:val="20"/>
      </w:rPr>
      <w:t>For Official Use Only</w:t>
    </w:r>
  </w:p>
  <w:p w14:paraId="7524506E" w14:textId="42A6A35D" w:rsidR="00C94776" w:rsidRPr="00686ABB" w:rsidRDefault="00C94776" w:rsidP="00DB7C11">
    <w:pPr>
      <w:pStyle w:val="Footer"/>
      <w:rPr>
        <w:i/>
        <w:sz w:val="20"/>
        <w:szCs w:val="20"/>
      </w:rPr>
    </w:pPr>
    <w:r>
      <w:rPr>
        <w:i/>
        <w:color w:val="808080" w:themeColor="background1" w:themeShade="80"/>
        <w:sz w:val="20"/>
        <w:szCs w:val="20"/>
      </w:rPr>
      <w:t>Version 1.3 dated October 3</w:t>
    </w:r>
    <w:r w:rsidR="00177343">
      <w:rPr>
        <w:i/>
        <w:color w:val="808080" w:themeColor="background1" w:themeShade="80"/>
        <w:sz w:val="20"/>
        <w:szCs w:val="20"/>
      </w:rPr>
      <w:t>1</w:t>
    </w:r>
    <w:r w:rsidRPr="00686ABB">
      <w:rPr>
        <w:i/>
        <w:color w:val="808080" w:themeColor="background1" w:themeShade="80"/>
        <w:sz w:val="20"/>
        <w:szCs w:val="20"/>
      </w:rPr>
      <w:t>, 2019</w:t>
    </w:r>
  </w:p>
  <w:p w14:paraId="0D2E7696" w14:textId="77777777" w:rsidR="00C94776" w:rsidRPr="00686ABB" w:rsidRDefault="00C94776" w:rsidP="00DB7C11">
    <w:pPr>
      <w:pStyle w:val="Foo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9757" w14:textId="77777777" w:rsidR="00214CA9" w:rsidRDefault="0021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C3CA" w14:textId="77777777" w:rsidR="004A1396" w:rsidRDefault="004A1396" w:rsidP="00BA49C6">
      <w:pPr>
        <w:spacing w:after="0" w:line="240" w:lineRule="auto"/>
      </w:pPr>
      <w:r>
        <w:separator/>
      </w:r>
    </w:p>
  </w:footnote>
  <w:footnote w:type="continuationSeparator" w:id="0">
    <w:p w14:paraId="34212C3E" w14:textId="77777777" w:rsidR="004A1396" w:rsidRDefault="004A1396" w:rsidP="00BA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20A2" w14:textId="77777777" w:rsidR="00214CA9" w:rsidRDefault="0021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18B1" w14:textId="4AFC8BE4" w:rsidR="00C94776" w:rsidRPr="002B58BB" w:rsidRDefault="00C94776" w:rsidP="006C67F6">
    <w:pPr>
      <w:pStyle w:val="Header"/>
      <w:tabs>
        <w:tab w:val="clear" w:pos="4680"/>
        <w:tab w:val="clear" w:pos="9360"/>
      </w:tabs>
      <w:jc w:val="center"/>
      <w:rPr>
        <w:rFonts w:cs="Times New Roman"/>
        <w:b/>
        <w:sz w:val="20"/>
        <w:szCs w:val="20"/>
      </w:rPr>
    </w:pPr>
    <w:r>
      <w:rPr>
        <w:rFonts w:eastAsiaTheme="majorEastAsia" w:cs="Times New Roman"/>
        <w:b/>
        <w:sz w:val="20"/>
        <w:szCs w:val="20"/>
      </w:rPr>
      <w:t>IAC MAC REQUIREMENT NUMBER: PX-XX-XXXX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47AF" w14:textId="77777777" w:rsidR="00214CA9" w:rsidRDefault="00214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776D"/>
    <w:multiLevelType w:val="hybridMultilevel"/>
    <w:tmpl w:val="CDCC9274"/>
    <w:lvl w:ilvl="0" w:tplc="CA7C93D4">
      <w:start w:val="1"/>
      <w:numFmt w:val="decimal"/>
      <w:pStyle w:val="Heading1"/>
      <w:lvlText w:val="%1.0"/>
      <w:lvlJc w:val="lef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77A59"/>
    <w:multiLevelType w:val="hybridMultilevel"/>
    <w:tmpl w:val="E47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07CCB"/>
    <w:multiLevelType w:val="hybridMultilevel"/>
    <w:tmpl w:val="B3A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1495C"/>
    <w:multiLevelType w:val="hybridMultilevel"/>
    <w:tmpl w:val="2DC688F2"/>
    <w:lvl w:ilvl="0" w:tplc="6D32B430">
      <w:start w:val="1"/>
      <w:numFmt w:val="decimal"/>
      <w:pStyle w:val="Heading2"/>
      <w:lvlText w:val="2.%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A2424"/>
    <w:multiLevelType w:val="hybridMultilevel"/>
    <w:tmpl w:val="DD12BBEA"/>
    <w:lvl w:ilvl="0" w:tplc="6FA0EA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C6"/>
    <w:rsid w:val="00000C29"/>
    <w:rsid w:val="00000D2B"/>
    <w:rsid w:val="000013A9"/>
    <w:rsid w:val="0000523A"/>
    <w:rsid w:val="000144C6"/>
    <w:rsid w:val="000311C2"/>
    <w:rsid w:val="00063204"/>
    <w:rsid w:val="000A0610"/>
    <w:rsid w:val="000A3BA0"/>
    <w:rsid w:val="000D30EB"/>
    <w:rsid w:val="000D4E34"/>
    <w:rsid w:val="000E537B"/>
    <w:rsid w:val="00106294"/>
    <w:rsid w:val="001140C2"/>
    <w:rsid w:val="001266D6"/>
    <w:rsid w:val="0014019E"/>
    <w:rsid w:val="001478BF"/>
    <w:rsid w:val="00171F8A"/>
    <w:rsid w:val="001764F0"/>
    <w:rsid w:val="00177343"/>
    <w:rsid w:val="001773C1"/>
    <w:rsid w:val="00196EFD"/>
    <w:rsid w:val="001A747D"/>
    <w:rsid w:val="001D0601"/>
    <w:rsid w:val="001D6CFF"/>
    <w:rsid w:val="001E2537"/>
    <w:rsid w:val="001F71A3"/>
    <w:rsid w:val="00200002"/>
    <w:rsid w:val="002114EA"/>
    <w:rsid w:val="00214CA9"/>
    <w:rsid w:val="002311F0"/>
    <w:rsid w:val="00240D14"/>
    <w:rsid w:val="00250669"/>
    <w:rsid w:val="00253939"/>
    <w:rsid w:val="00254421"/>
    <w:rsid w:val="00262824"/>
    <w:rsid w:val="0027168D"/>
    <w:rsid w:val="002759CE"/>
    <w:rsid w:val="00276B59"/>
    <w:rsid w:val="00292225"/>
    <w:rsid w:val="00295A43"/>
    <w:rsid w:val="0029631C"/>
    <w:rsid w:val="002A1843"/>
    <w:rsid w:val="002A3909"/>
    <w:rsid w:val="002A3A4B"/>
    <w:rsid w:val="002B58BB"/>
    <w:rsid w:val="002C50B6"/>
    <w:rsid w:val="002C6E6D"/>
    <w:rsid w:val="00321971"/>
    <w:rsid w:val="003243D9"/>
    <w:rsid w:val="00354B11"/>
    <w:rsid w:val="00361663"/>
    <w:rsid w:val="00366521"/>
    <w:rsid w:val="0037571A"/>
    <w:rsid w:val="00383859"/>
    <w:rsid w:val="00385633"/>
    <w:rsid w:val="003A2DF6"/>
    <w:rsid w:val="003B3E23"/>
    <w:rsid w:val="003D5C92"/>
    <w:rsid w:val="003F2A76"/>
    <w:rsid w:val="003F7B61"/>
    <w:rsid w:val="00401B13"/>
    <w:rsid w:val="00407C9D"/>
    <w:rsid w:val="00431354"/>
    <w:rsid w:val="00456DD9"/>
    <w:rsid w:val="00457365"/>
    <w:rsid w:val="00463861"/>
    <w:rsid w:val="00464AFB"/>
    <w:rsid w:val="00476096"/>
    <w:rsid w:val="004842DD"/>
    <w:rsid w:val="004856C6"/>
    <w:rsid w:val="004868A1"/>
    <w:rsid w:val="00495D8C"/>
    <w:rsid w:val="004A05B5"/>
    <w:rsid w:val="004A1396"/>
    <w:rsid w:val="004A3A47"/>
    <w:rsid w:val="004A75ED"/>
    <w:rsid w:val="004B4AEE"/>
    <w:rsid w:val="004E3887"/>
    <w:rsid w:val="004E50E0"/>
    <w:rsid w:val="004E6716"/>
    <w:rsid w:val="0050192A"/>
    <w:rsid w:val="00523E80"/>
    <w:rsid w:val="00546EEE"/>
    <w:rsid w:val="00560D77"/>
    <w:rsid w:val="00576102"/>
    <w:rsid w:val="00581144"/>
    <w:rsid w:val="00590389"/>
    <w:rsid w:val="005926A3"/>
    <w:rsid w:val="005968D5"/>
    <w:rsid w:val="0059696E"/>
    <w:rsid w:val="00597C50"/>
    <w:rsid w:val="005B1B91"/>
    <w:rsid w:val="005C73E5"/>
    <w:rsid w:val="005D7B95"/>
    <w:rsid w:val="00606772"/>
    <w:rsid w:val="00612FA9"/>
    <w:rsid w:val="006238E8"/>
    <w:rsid w:val="0062546A"/>
    <w:rsid w:val="00631017"/>
    <w:rsid w:val="0064306A"/>
    <w:rsid w:val="00645623"/>
    <w:rsid w:val="00660D38"/>
    <w:rsid w:val="00686ABB"/>
    <w:rsid w:val="006A12D0"/>
    <w:rsid w:val="006A55F1"/>
    <w:rsid w:val="006C5253"/>
    <w:rsid w:val="006C67F6"/>
    <w:rsid w:val="006E54D7"/>
    <w:rsid w:val="006F4CA6"/>
    <w:rsid w:val="006F5DE1"/>
    <w:rsid w:val="00701580"/>
    <w:rsid w:val="007037A2"/>
    <w:rsid w:val="00707BC4"/>
    <w:rsid w:val="00710C13"/>
    <w:rsid w:val="00713AEE"/>
    <w:rsid w:val="00720740"/>
    <w:rsid w:val="007408BB"/>
    <w:rsid w:val="00743F03"/>
    <w:rsid w:val="0075678C"/>
    <w:rsid w:val="007652DC"/>
    <w:rsid w:val="00771E0F"/>
    <w:rsid w:val="007841C9"/>
    <w:rsid w:val="007B2914"/>
    <w:rsid w:val="007C2091"/>
    <w:rsid w:val="007E5778"/>
    <w:rsid w:val="007E6498"/>
    <w:rsid w:val="00815F8C"/>
    <w:rsid w:val="008602F9"/>
    <w:rsid w:val="00886129"/>
    <w:rsid w:val="00895E4F"/>
    <w:rsid w:val="00895EBF"/>
    <w:rsid w:val="008A7A6A"/>
    <w:rsid w:val="008C1B15"/>
    <w:rsid w:val="008C4F1E"/>
    <w:rsid w:val="008C6BAE"/>
    <w:rsid w:val="008D2DBB"/>
    <w:rsid w:val="008D3416"/>
    <w:rsid w:val="008D466A"/>
    <w:rsid w:val="008D6B6F"/>
    <w:rsid w:val="008E07FA"/>
    <w:rsid w:val="008F6FF1"/>
    <w:rsid w:val="008F7B49"/>
    <w:rsid w:val="00902904"/>
    <w:rsid w:val="00926E90"/>
    <w:rsid w:val="009679A2"/>
    <w:rsid w:val="00973C96"/>
    <w:rsid w:val="009771B5"/>
    <w:rsid w:val="009A573B"/>
    <w:rsid w:val="009A673C"/>
    <w:rsid w:val="009A722C"/>
    <w:rsid w:val="009C65E2"/>
    <w:rsid w:val="009C7D3E"/>
    <w:rsid w:val="009E2015"/>
    <w:rsid w:val="00A043B4"/>
    <w:rsid w:val="00A41D46"/>
    <w:rsid w:val="00A51772"/>
    <w:rsid w:val="00A71AB9"/>
    <w:rsid w:val="00A76885"/>
    <w:rsid w:val="00A862BC"/>
    <w:rsid w:val="00AA1362"/>
    <w:rsid w:val="00AB1360"/>
    <w:rsid w:val="00B22CD9"/>
    <w:rsid w:val="00B239AD"/>
    <w:rsid w:val="00B3013C"/>
    <w:rsid w:val="00B41204"/>
    <w:rsid w:val="00B46E4A"/>
    <w:rsid w:val="00B50015"/>
    <w:rsid w:val="00B70299"/>
    <w:rsid w:val="00B91EB3"/>
    <w:rsid w:val="00BA2FF7"/>
    <w:rsid w:val="00BA49C6"/>
    <w:rsid w:val="00BB0B47"/>
    <w:rsid w:val="00BB46DA"/>
    <w:rsid w:val="00BB6701"/>
    <w:rsid w:val="00BD4F4F"/>
    <w:rsid w:val="00BE302F"/>
    <w:rsid w:val="00BF2E9D"/>
    <w:rsid w:val="00C0316F"/>
    <w:rsid w:val="00C11F3D"/>
    <w:rsid w:val="00C16C0A"/>
    <w:rsid w:val="00C34065"/>
    <w:rsid w:val="00C40F2F"/>
    <w:rsid w:val="00C55785"/>
    <w:rsid w:val="00C676F7"/>
    <w:rsid w:val="00C72AFA"/>
    <w:rsid w:val="00C73C8E"/>
    <w:rsid w:val="00C84C1F"/>
    <w:rsid w:val="00C94776"/>
    <w:rsid w:val="00CB0EBD"/>
    <w:rsid w:val="00CD7E22"/>
    <w:rsid w:val="00CE040D"/>
    <w:rsid w:val="00CE7B43"/>
    <w:rsid w:val="00D06C18"/>
    <w:rsid w:val="00D146CC"/>
    <w:rsid w:val="00D23773"/>
    <w:rsid w:val="00D310BA"/>
    <w:rsid w:val="00D56CCF"/>
    <w:rsid w:val="00D64C64"/>
    <w:rsid w:val="00D6506A"/>
    <w:rsid w:val="00D81011"/>
    <w:rsid w:val="00DA23C5"/>
    <w:rsid w:val="00DB7C11"/>
    <w:rsid w:val="00DE2177"/>
    <w:rsid w:val="00DF2FA7"/>
    <w:rsid w:val="00DF3453"/>
    <w:rsid w:val="00DF7AF5"/>
    <w:rsid w:val="00E109A1"/>
    <w:rsid w:val="00E25706"/>
    <w:rsid w:val="00E34517"/>
    <w:rsid w:val="00E35A5C"/>
    <w:rsid w:val="00E40C2E"/>
    <w:rsid w:val="00E63880"/>
    <w:rsid w:val="00E670CF"/>
    <w:rsid w:val="00E70C4D"/>
    <w:rsid w:val="00E71F02"/>
    <w:rsid w:val="00E93E50"/>
    <w:rsid w:val="00EB22B2"/>
    <w:rsid w:val="00EB5743"/>
    <w:rsid w:val="00EC1625"/>
    <w:rsid w:val="00EC174C"/>
    <w:rsid w:val="00EC1E2E"/>
    <w:rsid w:val="00EC24E9"/>
    <w:rsid w:val="00ED4B76"/>
    <w:rsid w:val="00ED69E5"/>
    <w:rsid w:val="00EE45F4"/>
    <w:rsid w:val="00EE784C"/>
    <w:rsid w:val="00EF0DEC"/>
    <w:rsid w:val="00F051C7"/>
    <w:rsid w:val="00F06BBB"/>
    <w:rsid w:val="00F14F76"/>
    <w:rsid w:val="00F24E9E"/>
    <w:rsid w:val="00F327FB"/>
    <w:rsid w:val="00F44D47"/>
    <w:rsid w:val="00F679ED"/>
    <w:rsid w:val="00F7745C"/>
    <w:rsid w:val="00FA66D5"/>
    <w:rsid w:val="00FC3FE8"/>
    <w:rsid w:val="00FC4C78"/>
    <w:rsid w:val="00FD20A6"/>
    <w:rsid w:val="00FE10D4"/>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4D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BB"/>
    <w:rPr>
      <w:rFonts w:ascii="Times New Roman" w:hAnsi="Times New Roman"/>
    </w:rPr>
  </w:style>
  <w:style w:type="paragraph" w:styleId="Heading1">
    <w:name w:val="heading 1"/>
    <w:basedOn w:val="Normal"/>
    <w:next w:val="Normal"/>
    <w:link w:val="Heading1Char"/>
    <w:uiPriority w:val="9"/>
    <w:qFormat/>
    <w:rsid w:val="00ED4B76"/>
    <w:pPr>
      <w:keepNext/>
      <w:keepLines/>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146CC"/>
    <w:pPr>
      <w:keepNext/>
      <w:keepLines/>
      <w:numPr>
        <w:numId w:val="2"/>
      </w:numPr>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22CD9"/>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9C6"/>
  </w:style>
  <w:style w:type="paragraph" w:styleId="Footer">
    <w:name w:val="footer"/>
    <w:basedOn w:val="Normal"/>
    <w:link w:val="FooterChar"/>
    <w:uiPriority w:val="99"/>
    <w:unhideWhenUsed/>
    <w:rsid w:val="00BA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9C6"/>
  </w:style>
  <w:style w:type="character" w:customStyle="1" w:styleId="Heading1Char">
    <w:name w:val="Heading 1 Char"/>
    <w:basedOn w:val="DefaultParagraphFont"/>
    <w:link w:val="Heading1"/>
    <w:uiPriority w:val="9"/>
    <w:rsid w:val="00ED4B76"/>
    <w:rPr>
      <w:rFonts w:ascii="Times New Roman" w:eastAsiaTheme="majorEastAsia" w:hAnsi="Times New Roman" w:cstheme="majorBidi"/>
      <w:b/>
      <w:caps/>
      <w:szCs w:val="32"/>
      <w:shd w:val="clear" w:color="auto" w:fill="D9D9D9" w:themeFill="background1" w:themeFillShade="D9"/>
    </w:rPr>
  </w:style>
  <w:style w:type="character" w:styleId="PlaceholderText">
    <w:name w:val="Placeholder Text"/>
    <w:basedOn w:val="DefaultParagraphFont"/>
    <w:uiPriority w:val="99"/>
    <w:semiHidden/>
    <w:rsid w:val="00ED4B76"/>
    <w:rPr>
      <w:color w:val="808080"/>
    </w:rPr>
  </w:style>
  <w:style w:type="character" w:customStyle="1" w:styleId="Heading2Char">
    <w:name w:val="Heading 2 Char"/>
    <w:basedOn w:val="DefaultParagraphFont"/>
    <w:link w:val="Heading2"/>
    <w:uiPriority w:val="9"/>
    <w:rsid w:val="00D146CC"/>
    <w:rPr>
      <w:rFonts w:ascii="Times New Roman" w:eastAsiaTheme="majorEastAsia" w:hAnsi="Times New Roman" w:cstheme="majorBidi"/>
      <w:b/>
      <w:szCs w:val="26"/>
    </w:rPr>
  </w:style>
  <w:style w:type="character" w:styleId="SubtleEmphasis">
    <w:name w:val="Subtle Emphasis"/>
    <w:basedOn w:val="DefaultParagraphFont"/>
    <w:uiPriority w:val="19"/>
    <w:qFormat/>
    <w:rsid w:val="00D146CC"/>
    <w:rPr>
      <w:rFonts w:ascii="Times New Roman" w:hAnsi="Times New Roman"/>
      <w:i/>
      <w:iCs/>
      <w:color w:val="595959" w:themeColor="text1" w:themeTint="A6"/>
      <w:sz w:val="22"/>
    </w:rPr>
  </w:style>
  <w:style w:type="character" w:customStyle="1" w:styleId="Heading3Char">
    <w:name w:val="Heading 3 Char"/>
    <w:basedOn w:val="DefaultParagraphFont"/>
    <w:link w:val="Heading3"/>
    <w:uiPriority w:val="9"/>
    <w:rsid w:val="00B22CD9"/>
    <w:rPr>
      <w:rFonts w:ascii="Times New Roman" w:eastAsiaTheme="majorEastAsia" w:hAnsi="Times New Roman" w:cstheme="majorBidi"/>
      <w:szCs w:val="24"/>
      <w:u w:val="single"/>
    </w:rPr>
  </w:style>
  <w:style w:type="paragraph" w:styleId="Subtitle">
    <w:name w:val="Subtitle"/>
    <w:basedOn w:val="Normal"/>
    <w:next w:val="Normal"/>
    <w:link w:val="SubtitleChar"/>
    <w:uiPriority w:val="11"/>
    <w:qFormat/>
    <w:rsid w:val="00B22CD9"/>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22CD9"/>
    <w:rPr>
      <w:rFonts w:eastAsiaTheme="minorEastAsia"/>
      <w:color w:val="5A5A5A" w:themeColor="text1" w:themeTint="A5"/>
      <w:spacing w:val="15"/>
    </w:rPr>
  </w:style>
  <w:style w:type="character" w:styleId="Hyperlink">
    <w:name w:val="Hyperlink"/>
    <w:basedOn w:val="DefaultParagraphFont"/>
    <w:uiPriority w:val="99"/>
    <w:unhideWhenUsed/>
    <w:rsid w:val="00B22CD9"/>
    <w:rPr>
      <w:color w:val="0563C1" w:themeColor="hyperlink"/>
      <w:u w:val="single"/>
    </w:rPr>
  </w:style>
  <w:style w:type="paragraph" w:styleId="NoSpacing">
    <w:name w:val="No Spacing"/>
    <w:uiPriority w:val="1"/>
    <w:qFormat/>
    <w:rsid w:val="0014019E"/>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E63880"/>
    <w:rPr>
      <w:sz w:val="16"/>
      <w:szCs w:val="16"/>
    </w:rPr>
  </w:style>
  <w:style w:type="paragraph" w:styleId="CommentText">
    <w:name w:val="annotation text"/>
    <w:basedOn w:val="Normal"/>
    <w:link w:val="CommentTextChar"/>
    <w:autoRedefine/>
    <w:uiPriority w:val="99"/>
    <w:unhideWhenUsed/>
    <w:rsid w:val="00926E9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26E90"/>
    <w:rPr>
      <w:sz w:val="20"/>
      <w:szCs w:val="20"/>
    </w:rPr>
  </w:style>
  <w:style w:type="paragraph" w:styleId="CommentSubject">
    <w:name w:val="annotation subject"/>
    <w:basedOn w:val="CommentText"/>
    <w:next w:val="CommentText"/>
    <w:link w:val="CommentSubjectChar"/>
    <w:uiPriority w:val="99"/>
    <w:semiHidden/>
    <w:unhideWhenUsed/>
    <w:rsid w:val="00E63880"/>
    <w:rPr>
      <w:b/>
      <w:bCs/>
    </w:rPr>
  </w:style>
  <w:style w:type="character" w:customStyle="1" w:styleId="CommentSubjectChar">
    <w:name w:val="Comment Subject Char"/>
    <w:basedOn w:val="CommentTextChar"/>
    <w:link w:val="CommentSubject"/>
    <w:uiPriority w:val="99"/>
    <w:semiHidden/>
    <w:rsid w:val="00E63880"/>
    <w:rPr>
      <w:rFonts w:ascii="Times New Roman" w:hAnsi="Times New Roman"/>
      <w:b/>
      <w:bCs/>
      <w:sz w:val="20"/>
      <w:szCs w:val="20"/>
    </w:rPr>
  </w:style>
  <w:style w:type="paragraph" w:styleId="BalloonText">
    <w:name w:val="Balloon Text"/>
    <w:basedOn w:val="Normal"/>
    <w:link w:val="BalloonTextChar"/>
    <w:uiPriority w:val="99"/>
    <w:semiHidden/>
    <w:unhideWhenUsed/>
    <w:rsid w:val="00E6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80"/>
    <w:rPr>
      <w:rFonts w:ascii="Segoe UI" w:hAnsi="Segoe UI" w:cs="Segoe UI"/>
      <w:sz w:val="18"/>
      <w:szCs w:val="18"/>
    </w:rPr>
  </w:style>
  <w:style w:type="paragraph" w:styleId="ListParagraph">
    <w:name w:val="List Paragraph"/>
    <w:basedOn w:val="Normal"/>
    <w:uiPriority w:val="34"/>
    <w:qFormat/>
    <w:rsid w:val="00E63880"/>
    <w:pPr>
      <w:ind w:left="720"/>
      <w:contextualSpacing/>
    </w:pPr>
  </w:style>
  <w:style w:type="table" w:styleId="TableGrid">
    <w:name w:val="Table Grid"/>
    <w:basedOn w:val="TableNormal"/>
    <w:uiPriority w:val="39"/>
    <w:rsid w:val="00E6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43D9"/>
    <w:pPr>
      <w:widowControl w:val="0"/>
      <w:autoSpaceDE w:val="0"/>
      <w:autoSpaceDN w:val="0"/>
      <w:spacing w:after="200" w:line="240" w:lineRule="auto"/>
    </w:pPr>
    <w:rPr>
      <w:rFonts w:eastAsia="Times New Roman" w:cs="Times New Roman"/>
      <w:sz w:val="20"/>
      <w:szCs w:val="24"/>
    </w:rPr>
  </w:style>
  <w:style w:type="character" w:customStyle="1" w:styleId="BodyTextChar">
    <w:name w:val="Body Text Char"/>
    <w:basedOn w:val="DefaultParagraphFont"/>
    <w:link w:val="BodyText"/>
    <w:uiPriority w:val="1"/>
    <w:rsid w:val="003243D9"/>
    <w:rPr>
      <w:rFonts w:ascii="Times New Roman" w:eastAsia="Times New Roman" w:hAnsi="Times New Roman" w:cs="Times New Roman"/>
      <w:sz w:val="20"/>
      <w:szCs w:val="24"/>
    </w:rPr>
  </w:style>
  <w:style w:type="paragraph" w:styleId="Revision">
    <w:name w:val="Revision"/>
    <w:hidden/>
    <w:uiPriority w:val="99"/>
    <w:semiHidden/>
    <w:rsid w:val="00926E90"/>
    <w:pPr>
      <w:spacing w:after="0" w:line="240" w:lineRule="auto"/>
    </w:pPr>
    <w:rPr>
      <w:rFonts w:ascii="Times New Roman" w:hAnsi="Times New Roman"/>
    </w:rPr>
  </w:style>
  <w:style w:type="paragraph" w:customStyle="1" w:styleId="TableParagraph">
    <w:name w:val="Table Paragraph"/>
    <w:basedOn w:val="Normal"/>
    <w:uiPriority w:val="1"/>
    <w:qFormat/>
    <w:rsid w:val="004868A1"/>
    <w:pPr>
      <w:widowControl w:val="0"/>
      <w:autoSpaceDE w:val="0"/>
      <w:autoSpaceDN w:val="0"/>
      <w:spacing w:before="59" w:after="0" w:line="240" w:lineRule="auto"/>
      <w:ind w:left="66"/>
    </w:pPr>
    <w:rPr>
      <w:rFonts w:ascii="Arial" w:eastAsia="Arial" w:hAnsi="Arial" w:cs="Arial"/>
    </w:rPr>
  </w:style>
  <w:style w:type="paragraph" w:customStyle="1" w:styleId="Default">
    <w:name w:val="Default"/>
    <w:rsid w:val="0075678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63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570">
      <w:bodyDiv w:val="1"/>
      <w:marLeft w:val="0"/>
      <w:marRight w:val="0"/>
      <w:marTop w:val="0"/>
      <w:marBottom w:val="0"/>
      <w:divBdr>
        <w:top w:val="none" w:sz="0" w:space="0" w:color="auto"/>
        <w:left w:val="none" w:sz="0" w:space="0" w:color="auto"/>
        <w:bottom w:val="none" w:sz="0" w:space="0" w:color="auto"/>
        <w:right w:val="none" w:sz="0" w:space="0" w:color="auto"/>
      </w:divBdr>
    </w:div>
    <w:div w:id="587034021">
      <w:bodyDiv w:val="1"/>
      <w:marLeft w:val="0"/>
      <w:marRight w:val="0"/>
      <w:marTop w:val="0"/>
      <w:marBottom w:val="0"/>
      <w:divBdr>
        <w:top w:val="none" w:sz="0" w:space="0" w:color="auto"/>
        <w:left w:val="none" w:sz="0" w:space="0" w:color="auto"/>
        <w:bottom w:val="none" w:sz="0" w:space="0" w:color="auto"/>
        <w:right w:val="none" w:sz="0" w:space="0" w:color="auto"/>
      </w:divBdr>
    </w:div>
    <w:div w:id="10797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policy/policyvault/USA007619-12-DPAP.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po.gov/fdsys/pkg/FR-2011-09-12/pdf/2011-2316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3E5AC2-EB18-4258-87D9-A673E55B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2558</Words>
  <Characters>14581</Characters>
  <Application>Microsoft Office Word</Application>
  <DocSecurity>0</DocSecurity>
  <Lines>121</Lines>
  <Paragraphs>34</Paragraphs>
  <ScaleCrop>false</ScaleCrop>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2019-10-31T17:43:00Z</dcterms:created>
  <dcterms:modified xsi:type="dcterms:W3CDTF">2019-10-31T17:44:00Z</dcterms:modified>
  <cp:contentStatus/>
</cp:coreProperties>
</file>